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E3FCA" w14:textId="02769F0F" w:rsidR="00875E3F" w:rsidRDefault="00875E3F" w:rsidP="00875E3F">
      <w:pPr>
        <w:pStyle w:val="3GPPHeader"/>
        <w:spacing w:after="60"/>
        <w:rPr>
          <w:sz w:val="32"/>
          <w:szCs w:val="32"/>
          <w:highlight w:val="yellow"/>
        </w:rPr>
      </w:pPr>
      <w:r>
        <w:t>3GPP TSG-RAN WG2 #97bis</w:t>
      </w:r>
      <w:r>
        <w:tab/>
      </w:r>
      <w:r>
        <w:rPr>
          <w:sz w:val="32"/>
          <w:szCs w:val="32"/>
        </w:rPr>
        <w:t xml:space="preserve">Tdoc </w:t>
      </w:r>
      <w:r w:rsidR="000D7EC9" w:rsidRPr="000D7EC9">
        <w:rPr>
          <w:sz w:val="32"/>
          <w:szCs w:val="32"/>
        </w:rPr>
        <w:t>R2-1703294</w:t>
      </w:r>
    </w:p>
    <w:p w14:paraId="3BE1E500" w14:textId="77777777" w:rsidR="00875E3F" w:rsidRDefault="00875E3F" w:rsidP="00875E3F">
      <w:pPr>
        <w:pStyle w:val="CRCoverPage"/>
        <w:outlineLvl w:val="0"/>
        <w:rPr>
          <w:b/>
          <w:noProof/>
          <w:sz w:val="24"/>
        </w:rPr>
      </w:pPr>
      <w:r>
        <w:rPr>
          <w:b/>
          <w:noProof/>
          <w:sz w:val="24"/>
        </w:rPr>
        <w:t>Spokane, WA, USA, 3</w:t>
      </w:r>
      <w:r>
        <w:rPr>
          <w:b/>
          <w:noProof/>
          <w:sz w:val="24"/>
          <w:vertAlign w:val="superscript"/>
        </w:rPr>
        <w:t>th</w:t>
      </w:r>
      <w:r>
        <w:rPr>
          <w:b/>
          <w:noProof/>
          <w:sz w:val="24"/>
        </w:rPr>
        <w:t xml:space="preserve"> – 7</w:t>
      </w:r>
      <w:r>
        <w:rPr>
          <w:b/>
          <w:noProof/>
          <w:sz w:val="24"/>
          <w:vertAlign w:val="superscript"/>
        </w:rPr>
        <w:t>th</w:t>
      </w:r>
      <w:r>
        <w:rPr>
          <w:b/>
          <w:noProof/>
          <w:sz w:val="24"/>
        </w:rPr>
        <w:t xml:space="preserve"> April 2017</w:t>
      </w:r>
    </w:p>
    <w:p w14:paraId="56C12257" w14:textId="77777777" w:rsidR="00E90E49" w:rsidRPr="00CE0424" w:rsidRDefault="00E90E49" w:rsidP="00357380">
      <w:pPr>
        <w:pStyle w:val="3GPPHeader"/>
      </w:pPr>
    </w:p>
    <w:p w14:paraId="4A4F422A" w14:textId="25F787D6" w:rsidR="00E90E49" w:rsidRPr="00CE64FB" w:rsidRDefault="00E90E49" w:rsidP="00311702">
      <w:pPr>
        <w:pStyle w:val="3GPPHeader"/>
        <w:rPr>
          <w:sz w:val="22"/>
          <w:szCs w:val="22"/>
          <w:lang w:val="en-US"/>
        </w:rPr>
      </w:pPr>
      <w:r w:rsidRPr="00CE64FB">
        <w:rPr>
          <w:sz w:val="22"/>
          <w:szCs w:val="22"/>
          <w:lang w:val="en-US"/>
        </w:rPr>
        <w:t>Agenda Item:</w:t>
      </w:r>
      <w:r w:rsidRPr="00CE64FB">
        <w:rPr>
          <w:sz w:val="22"/>
          <w:szCs w:val="22"/>
          <w:lang w:val="en-US"/>
        </w:rPr>
        <w:tab/>
      </w:r>
      <w:r w:rsidR="000D7EC9" w:rsidRPr="000D7EC9">
        <w:rPr>
          <w:sz w:val="22"/>
          <w:szCs w:val="22"/>
          <w:lang w:val="en-US"/>
        </w:rPr>
        <w:t>7.3</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76551155" w:rsidR="00E90E49" w:rsidRPr="00CE0424" w:rsidRDefault="003D3C45" w:rsidP="00311702">
      <w:pPr>
        <w:pStyle w:val="3GPPHeader"/>
        <w:rPr>
          <w:sz w:val="22"/>
          <w:szCs w:val="22"/>
        </w:rPr>
      </w:pPr>
      <w:r>
        <w:rPr>
          <w:sz w:val="22"/>
          <w:szCs w:val="22"/>
        </w:rPr>
        <w:t>Title:</w:t>
      </w:r>
      <w:r w:rsidR="00E90E49" w:rsidRPr="00CE0424">
        <w:rPr>
          <w:sz w:val="22"/>
          <w:szCs w:val="22"/>
        </w:rPr>
        <w:tab/>
      </w:r>
      <w:r w:rsidR="00794F7F" w:rsidRPr="00794F7F">
        <w:rPr>
          <w:sz w:val="22"/>
          <w:szCs w:val="22"/>
        </w:rPr>
        <w:t>Selection of preambles for BL UEs and UEs in enhanced coverage</w:t>
      </w:r>
    </w:p>
    <w:p w14:paraId="7E783B99" w14:textId="77777777" w:rsidR="00E90E49" w:rsidRPr="00CE0424" w:rsidRDefault="00E90E49" w:rsidP="00D546FF">
      <w:pPr>
        <w:pStyle w:val="3GPPHeader"/>
        <w:rPr>
          <w:sz w:val="22"/>
          <w:szCs w:val="22"/>
        </w:rPr>
      </w:pPr>
      <w:r w:rsidRPr="00794F7F">
        <w:rPr>
          <w:sz w:val="22"/>
          <w:szCs w:val="22"/>
        </w:rPr>
        <w:t>Document for:</w:t>
      </w:r>
      <w:r w:rsidRPr="00794F7F">
        <w:rPr>
          <w:sz w:val="22"/>
          <w:szCs w:val="22"/>
        </w:rPr>
        <w:tab/>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5DD7B1D9" w14:textId="6D805965" w:rsidR="00D3005B" w:rsidRPr="00CE0424" w:rsidRDefault="001F3A5F" w:rsidP="00CE0424">
      <w:pPr>
        <w:pStyle w:val="BodyText"/>
      </w:pPr>
      <w:r>
        <w:t>This document discusses Random Access Preamble group selection for MTC and how Random Access Preambles group A/B interacts with Random Access Preambles groups for CE-levels</w:t>
      </w:r>
      <w:r w:rsidR="000D0103">
        <w:t>.</w:t>
      </w:r>
    </w:p>
    <w:p w14:paraId="69658FB3" w14:textId="4A480372" w:rsidR="00617E19" w:rsidRDefault="004000E8" w:rsidP="00161EB4">
      <w:pPr>
        <w:pStyle w:val="Heading1"/>
      </w:pPr>
      <w:bookmarkStart w:id="0" w:name="_Ref178064866"/>
      <w:r w:rsidRPr="00CE0424">
        <w:t>Discussion</w:t>
      </w:r>
      <w:bookmarkEnd w:id="0"/>
    </w:p>
    <w:p w14:paraId="5DC4F644" w14:textId="6B17F4FE" w:rsidR="002030B5" w:rsidRDefault="002030B5" w:rsidP="00161EB4">
      <w:pPr>
        <w:pStyle w:val="Heading2"/>
      </w:pPr>
      <w:r>
        <w:t>Configuration of groups for CE levels and groups A/B</w:t>
      </w:r>
    </w:p>
    <w:p w14:paraId="4B40DEB2" w14:textId="306FD923" w:rsidR="00B90D0E" w:rsidRDefault="00B90D0E" w:rsidP="006E062C">
      <w:r w:rsidRPr="00161EB4">
        <w:t xml:space="preserve">According to </w:t>
      </w:r>
      <w:r w:rsidR="00E945B6" w:rsidRPr="00161EB4">
        <w:t xml:space="preserve">the </w:t>
      </w:r>
      <w:r w:rsidRPr="00161EB4">
        <w:t xml:space="preserve">current </w:t>
      </w:r>
      <w:r w:rsidR="00E945B6" w:rsidRPr="00161EB4">
        <w:t xml:space="preserve">MAC </w:t>
      </w:r>
      <w:r w:rsidRPr="00161EB4">
        <w:t xml:space="preserve">specification BL UEs and UEs in enhanced coverage may be configured with different PRACH resources and preambles for different CE-levels. It is also possible, at least from RRC </w:t>
      </w:r>
      <w:r>
        <w:t xml:space="preserve">point of view, to divide the preamble space in to group A and group B. Further it is </w:t>
      </w:r>
      <w:r w:rsidR="00161EB4">
        <w:t xml:space="preserve">suggested </w:t>
      </w:r>
      <w:r>
        <w:t>by the following NOTE from MAC that it is possible to use preambles per CE-level at the same time as group A and group B are configured.</w:t>
      </w:r>
    </w:p>
    <w:p w14:paraId="159A40AF" w14:textId="2AFDE52F" w:rsidR="00B90D0E" w:rsidRDefault="00B90D0E" w:rsidP="006E062C"/>
    <w:p w14:paraId="694DFDC9" w14:textId="3B563403" w:rsidR="00B90D0E" w:rsidRPr="00B90D0E" w:rsidRDefault="00B90D0E" w:rsidP="00B90D0E">
      <w:pPr>
        <w:pStyle w:val="NO"/>
        <w:ind w:left="1560" w:right="850"/>
        <w:rPr>
          <w:rFonts w:eastAsia="?? ??"/>
          <w:noProof/>
        </w:rPr>
      </w:pPr>
      <w:r w:rsidRPr="002F4F3B">
        <w:rPr>
          <w:rFonts w:eastAsia="?? ??"/>
          <w:noProof/>
        </w:rPr>
        <w:t>NOTE:</w:t>
      </w:r>
      <w:r w:rsidRPr="002F4F3B">
        <w:rPr>
          <w:rFonts w:eastAsia="?? ??"/>
          <w:noProof/>
        </w:rPr>
        <w:tab/>
      </w:r>
      <w:r w:rsidRPr="000D4EBE">
        <w:rPr>
          <w:rFonts w:eastAsia="?? ??" w:hint="eastAsia"/>
          <w:noProof/>
        </w:rPr>
        <w:t xml:space="preserve">If </w:t>
      </w:r>
      <w:r w:rsidRPr="000D4EBE">
        <w:rPr>
          <w:rFonts w:eastAsia="?? ??"/>
          <w:noProof/>
        </w:rPr>
        <w:t xml:space="preserve">Random Access Preamble group B exists, </w:t>
      </w:r>
      <w:r w:rsidRPr="000D4EBE">
        <w:rPr>
          <w:rFonts w:eastAsia="?? ??" w:hint="eastAsia"/>
          <w:noProof/>
        </w:rPr>
        <w:t xml:space="preserve">the eNB should ensure that at least one </w:t>
      </w:r>
      <w:r w:rsidRPr="000D4EBE">
        <w:rPr>
          <w:rFonts w:eastAsia="?? ??"/>
          <w:noProof/>
        </w:rPr>
        <w:t xml:space="preserve">Random Access Preamble </w:t>
      </w:r>
      <w:r w:rsidRPr="000D4EBE">
        <w:rPr>
          <w:rFonts w:eastAsia="?? ??" w:hint="eastAsia"/>
          <w:noProof/>
        </w:rPr>
        <w:t xml:space="preserve">is contained </w:t>
      </w:r>
      <w:r w:rsidRPr="000D4EBE">
        <w:rPr>
          <w:rFonts w:eastAsia="?? ??"/>
          <w:noProof/>
        </w:rPr>
        <w:t xml:space="preserve">in Random Access Preamble group A and Random Access Preamble group B </w:t>
      </w:r>
      <w:r w:rsidRPr="000D4EBE">
        <w:rPr>
          <w:rFonts w:eastAsia="?? ??" w:hint="eastAsia"/>
          <w:noProof/>
        </w:rPr>
        <w:t>for all enhanced coverage level.</w:t>
      </w:r>
      <w:r>
        <w:t xml:space="preserve"> </w:t>
      </w:r>
    </w:p>
    <w:p w14:paraId="72F26857" w14:textId="77777777" w:rsidR="00B90D0E" w:rsidRDefault="00B90D0E" w:rsidP="006E062C"/>
    <w:p w14:paraId="09EFDBCD" w14:textId="24EA30A2" w:rsidR="00B90D0E" w:rsidRDefault="00B90D0E" w:rsidP="006E062C">
      <w:r>
        <w:t>One interpretation of the NOTE is that the eNB should ensure that if preambles per CE-level is configured at the same time as gro</w:t>
      </w:r>
      <w:r w:rsidR="00037FDD">
        <w:t>up A and group B are configured, t</w:t>
      </w:r>
      <w:r>
        <w:t xml:space="preserve">hen the eNB must configure the UE preambles like in </w:t>
      </w:r>
      <w:r w:rsidR="00037FDD">
        <w:t xml:space="preserve">the </w:t>
      </w:r>
      <w:r>
        <w:t>figure</w:t>
      </w:r>
      <w:r w:rsidR="00037FDD">
        <w:t xml:space="preserve"> below. N</w:t>
      </w:r>
      <w:r>
        <w:t>amely</w:t>
      </w:r>
      <w:r w:rsidR="00037FDD">
        <w:t>,</w:t>
      </w:r>
      <w:r>
        <w:t xml:space="preserve"> the eNB must configure one PRACH resource for each configured CE-level and for each CE-level the </w:t>
      </w:r>
      <w:r w:rsidRPr="00B90D0E">
        <w:rPr>
          <w:i/>
        </w:rPr>
        <w:t>firstPreamble</w:t>
      </w:r>
      <w:r>
        <w:t xml:space="preserve"> and </w:t>
      </w:r>
      <w:r w:rsidRPr="00B90D0E">
        <w:rPr>
          <w:i/>
        </w:rPr>
        <w:t>lastPreamble</w:t>
      </w:r>
      <w:r>
        <w:t xml:space="preserve"> for each CE-level must be such that each CE-level has at least one preamble in Group A and at least one preamble in Group B. Note also that the split of the preambles in Group A/B is common for all PRACH resources.</w:t>
      </w:r>
    </w:p>
    <w:p w14:paraId="04A0512D" w14:textId="29D3B69F" w:rsidR="00B90D0E" w:rsidRDefault="00B90D0E" w:rsidP="006E062C"/>
    <w:p w14:paraId="762646C0" w14:textId="52B80CA9" w:rsidR="00B14A63" w:rsidRDefault="00B14A63" w:rsidP="006E062C"/>
    <w:p w14:paraId="260BD59B" w14:textId="158D42DD" w:rsidR="00B90D0E" w:rsidRDefault="00B90D0E" w:rsidP="00B90D0E">
      <w:pPr>
        <w:jc w:val="center"/>
      </w:pPr>
      <w:r>
        <w:rPr>
          <w:noProof/>
          <w:lang w:val="sv-SE" w:eastAsia="sv-SE"/>
        </w:rPr>
        <w:lastRenderedPageBreak/>
        <w:drawing>
          <wp:inline distT="0" distB="0" distL="0" distR="0" wp14:anchorId="15F66890" wp14:editId="4BC358A6">
            <wp:extent cx="5219700" cy="3356417"/>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23352" cy="3358765"/>
                    </a:xfrm>
                    <a:prstGeom prst="rect">
                      <a:avLst/>
                    </a:prstGeom>
                    <a:noFill/>
                  </pic:spPr>
                </pic:pic>
              </a:graphicData>
            </a:graphic>
          </wp:inline>
        </w:drawing>
      </w:r>
    </w:p>
    <w:p w14:paraId="45387871" w14:textId="6502C7BC" w:rsidR="00037FDD" w:rsidRDefault="00037FDD" w:rsidP="00B14A63">
      <w:r>
        <w:t xml:space="preserve">However, we wonder if the configuration in the figure is very </w:t>
      </w:r>
      <w:r w:rsidR="004B1069">
        <w:t>meaningful</w:t>
      </w:r>
      <w:r>
        <w:t xml:space="preserve"> as anyhow the dedicated preambles (right end) should be same for all</w:t>
      </w:r>
      <w:r w:rsidR="00161EB4">
        <w:t xml:space="preserve"> PRACH resources (i.e. that </w:t>
      </w:r>
      <w:r w:rsidR="00161EB4" w:rsidRPr="00161EB4">
        <w:rPr>
          <w:i/>
        </w:rPr>
        <w:t>lastPreamble</w:t>
      </w:r>
      <w:r w:rsidR="00161EB4">
        <w:t xml:space="preserve"> is the same for all PRACH resources)</w:t>
      </w:r>
      <w:r>
        <w:t>. And there is no usage of the free preambles in the left side</w:t>
      </w:r>
      <w:r w:rsidR="00161EB4">
        <w:t xml:space="preserve"> of “first preamble”</w:t>
      </w:r>
      <w:r>
        <w:t>.</w:t>
      </w:r>
    </w:p>
    <w:p w14:paraId="082F1847" w14:textId="77777777" w:rsidR="00037FDD" w:rsidRDefault="00037FDD" w:rsidP="00B14A63"/>
    <w:p w14:paraId="058F0053" w14:textId="47E315A7" w:rsidR="00037FDD" w:rsidRDefault="00161EB4" w:rsidP="00B14A63">
      <w:r>
        <w:t>An a</w:t>
      </w:r>
      <w:r w:rsidR="00037FDD">
        <w:t xml:space="preserve">lternative way to configure different CE levels </w:t>
      </w:r>
      <w:r w:rsidR="003B0594">
        <w:t>only with separate PRACH resources together with</w:t>
      </w:r>
      <w:r w:rsidR="00037FDD">
        <w:t xml:space="preserve"> group A and B would be following:</w:t>
      </w:r>
    </w:p>
    <w:p w14:paraId="5F706CB3" w14:textId="77777777" w:rsidR="003B0594" w:rsidRDefault="003B0594" w:rsidP="00B14A63"/>
    <w:p w14:paraId="7706ECC2" w14:textId="1DD27302" w:rsidR="003B0594" w:rsidRDefault="003B0594" w:rsidP="00B14A63">
      <w:r>
        <w:rPr>
          <w:noProof/>
          <w:lang w:val="sv-SE" w:eastAsia="sv-SE"/>
        </w:rPr>
        <w:drawing>
          <wp:inline distT="0" distB="0" distL="0" distR="0" wp14:anchorId="2D92E40D" wp14:editId="3BB88108">
            <wp:extent cx="5232614" cy="329678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1.png"/>
                    <pic:cNvPicPr/>
                  </pic:nvPicPr>
                  <pic:blipFill>
                    <a:blip r:embed="rId9">
                      <a:extLst>
                        <a:ext uri="{28A0092B-C50C-407E-A947-70E740481C1C}">
                          <a14:useLocalDpi xmlns:a14="http://schemas.microsoft.com/office/drawing/2010/main" val="0"/>
                        </a:ext>
                      </a:extLst>
                    </a:blip>
                    <a:stretch>
                      <a:fillRect/>
                    </a:stretch>
                  </pic:blipFill>
                  <pic:spPr>
                    <a:xfrm>
                      <a:off x="0" y="0"/>
                      <a:ext cx="5229359" cy="3294729"/>
                    </a:xfrm>
                    <a:prstGeom prst="rect">
                      <a:avLst/>
                    </a:prstGeom>
                  </pic:spPr>
                </pic:pic>
              </a:graphicData>
            </a:graphic>
          </wp:inline>
        </w:drawing>
      </w:r>
    </w:p>
    <w:p w14:paraId="7585B960" w14:textId="1E40EA5F" w:rsidR="00037FDD" w:rsidRDefault="003B0594" w:rsidP="00B14A63">
      <w:r>
        <w:t xml:space="preserve">In the third scenario, </w:t>
      </w:r>
      <w:r w:rsidR="00FC35EF">
        <w:t xml:space="preserve">preamble ranges for </w:t>
      </w:r>
      <w:r>
        <w:t xml:space="preserve">CE levels are </w:t>
      </w:r>
      <w:r w:rsidR="00FC35EF">
        <w:t>configured by partitioning o</w:t>
      </w:r>
      <w:r w:rsidR="00CE646B">
        <w:t>f the preamble space of a PRACH</w:t>
      </w:r>
      <w:r>
        <w:t xml:space="preserve">. In this scenario, grouping to A and B </w:t>
      </w:r>
      <w:r w:rsidR="00161EB4">
        <w:t xml:space="preserve">clearly </w:t>
      </w:r>
      <w:r>
        <w:t xml:space="preserve">does not work. </w:t>
      </w:r>
      <w:r w:rsidR="00FC35EF">
        <w:t xml:space="preserve">I.e, non-empty groups A and B cannot be ensured </w:t>
      </w:r>
      <w:r w:rsidR="00161EB4">
        <w:t xml:space="preserve">on each PRACH resource </w:t>
      </w:r>
      <w:r w:rsidR="00FC35EF">
        <w:t>without preamble ranges overlapping between CE levels.</w:t>
      </w:r>
    </w:p>
    <w:p w14:paraId="779B8FAA" w14:textId="50FE14C7" w:rsidR="003B0594" w:rsidRDefault="003B0594" w:rsidP="00B14A63">
      <w:r>
        <w:rPr>
          <w:noProof/>
          <w:lang w:val="sv-SE" w:eastAsia="sv-SE"/>
        </w:rPr>
        <w:lastRenderedPageBreak/>
        <w:drawing>
          <wp:inline distT="0" distB="0" distL="0" distR="0" wp14:anchorId="3E6FF9A6" wp14:editId="48047700">
            <wp:extent cx="4676775" cy="1934723"/>
            <wp:effectExtent l="0" t="0" r="0" b="889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png"/>
                    <pic:cNvPicPr/>
                  </pic:nvPicPr>
                  <pic:blipFill>
                    <a:blip r:embed="rId10">
                      <a:extLst>
                        <a:ext uri="{28A0092B-C50C-407E-A947-70E740481C1C}">
                          <a14:useLocalDpi xmlns:a14="http://schemas.microsoft.com/office/drawing/2010/main" val="0"/>
                        </a:ext>
                      </a:extLst>
                    </a:blip>
                    <a:stretch>
                      <a:fillRect/>
                    </a:stretch>
                  </pic:blipFill>
                  <pic:spPr>
                    <a:xfrm>
                      <a:off x="0" y="0"/>
                      <a:ext cx="4680572" cy="1936294"/>
                    </a:xfrm>
                    <a:prstGeom prst="rect">
                      <a:avLst/>
                    </a:prstGeom>
                  </pic:spPr>
                </pic:pic>
              </a:graphicData>
            </a:graphic>
          </wp:inline>
        </w:drawing>
      </w:r>
    </w:p>
    <w:p w14:paraId="075CD63A" w14:textId="77777777" w:rsidR="00037FDD" w:rsidRDefault="00037FDD" w:rsidP="00B14A63"/>
    <w:p w14:paraId="7193F669" w14:textId="12C03CA3" w:rsidR="00B14A63" w:rsidRDefault="00617E19" w:rsidP="00B14A63">
      <w:r>
        <w:t>It</w:t>
      </w:r>
      <w:r w:rsidR="00B14A63">
        <w:t xml:space="preserve"> is useful if RAN2 discusses the intended behaviour regarding whether Group A/Group B can be configured at the same time as different preamble</w:t>
      </w:r>
      <w:r>
        <w:t xml:space="preserve"> groups</w:t>
      </w:r>
      <w:r w:rsidR="00B14A63">
        <w:t xml:space="preserve"> for different CE-levels is supported or not.</w:t>
      </w:r>
      <w:r>
        <w:t xml:space="preserve"> In our view, this additional complexity </w:t>
      </w:r>
      <w:r w:rsidR="00FC35EF">
        <w:t>may not be essential</w:t>
      </w:r>
      <w:r>
        <w:t>.</w:t>
      </w:r>
    </w:p>
    <w:p w14:paraId="5460FF5F" w14:textId="5822B4AE" w:rsidR="00B14A63" w:rsidRDefault="00B14A63" w:rsidP="00B14A63">
      <w:pPr>
        <w:pStyle w:val="Proposal"/>
      </w:pPr>
      <w:bookmarkStart w:id="1" w:name="_Toc474428025"/>
      <w:bookmarkStart w:id="2" w:name="_Toc474668106"/>
      <w:bookmarkStart w:id="3" w:name="_Toc474668913"/>
      <w:r>
        <w:t xml:space="preserve">RAN2 should </w:t>
      </w:r>
      <w:r w:rsidR="004B1069">
        <w:t xml:space="preserve">discuss </w:t>
      </w:r>
      <w:r>
        <w:t xml:space="preserve">the intended behaviour w.r.t. </w:t>
      </w:r>
      <w:r w:rsidR="000846F8">
        <w:t xml:space="preserve">whether it is </w:t>
      </w:r>
      <w:r w:rsidR="00617E19">
        <w:t xml:space="preserve">useful </w:t>
      </w:r>
      <w:r w:rsidR="000846F8">
        <w:t xml:space="preserve">to </w:t>
      </w:r>
      <w:r>
        <w:t>simultaneous</w:t>
      </w:r>
      <w:r w:rsidR="000846F8">
        <w:t xml:space="preserve">ly configure </w:t>
      </w:r>
      <w:r>
        <w:t>preambles group A/B and preamble groups for CE-levels.</w:t>
      </w:r>
      <w:bookmarkEnd w:id="1"/>
      <w:bookmarkEnd w:id="2"/>
      <w:bookmarkEnd w:id="3"/>
    </w:p>
    <w:p w14:paraId="13C1B726" w14:textId="2E333E3F" w:rsidR="00617E19" w:rsidRDefault="00617E19" w:rsidP="00B14A63">
      <w:pPr>
        <w:pStyle w:val="Proposal"/>
      </w:pPr>
      <w:bookmarkStart w:id="4" w:name="_Toc474428026"/>
      <w:bookmarkStart w:id="5" w:name="_Toc474668107"/>
      <w:bookmarkStart w:id="6" w:name="_Toc474668914"/>
      <w:r>
        <w:t xml:space="preserve">If RAN2 agrees that CE specific preamble groups and A/B should not be configured at the same time, it is proposed to clarify </w:t>
      </w:r>
      <w:r w:rsidR="00161EB4">
        <w:t xml:space="preserve">this in </w:t>
      </w:r>
      <w:r>
        <w:t>MAC.</w:t>
      </w:r>
      <w:bookmarkEnd w:id="4"/>
      <w:bookmarkEnd w:id="5"/>
      <w:bookmarkEnd w:id="6"/>
    </w:p>
    <w:p w14:paraId="5249E5C0" w14:textId="21553AFE" w:rsidR="00617E19" w:rsidRDefault="00617E19" w:rsidP="006E062C"/>
    <w:p w14:paraId="0D167670" w14:textId="71E6C6BA" w:rsidR="002030B5" w:rsidRDefault="002030B5" w:rsidP="00161EB4">
      <w:pPr>
        <w:pStyle w:val="Heading2"/>
      </w:pPr>
      <w:r>
        <w:t>Procedure for selection of CE specific groups and A/B</w:t>
      </w:r>
    </w:p>
    <w:p w14:paraId="021045BD" w14:textId="269518AB" w:rsidR="00617E19" w:rsidRDefault="00B90D0E" w:rsidP="006E062C">
      <w:r>
        <w:t xml:space="preserve">The preambles for each CE-level are currently referred to as a </w:t>
      </w:r>
      <w:r w:rsidRPr="00353740">
        <w:rPr>
          <w:i/>
        </w:rPr>
        <w:t>Random Access Preambles group</w:t>
      </w:r>
      <w:r>
        <w:t>. This is the same term</w:t>
      </w:r>
      <w:r w:rsidR="00FC35EF">
        <w:t>inology</w:t>
      </w:r>
      <w:r>
        <w:t xml:space="preserve"> used for group A and group B. This </w:t>
      </w:r>
      <w:r w:rsidR="00617E19">
        <w:t xml:space="preserve">might create some </w:t>
      </w:r>
      <w:r w:rsidR="00FC35EF">
        <w:t>unclarity</w:t>
      </w:r>
      <w:r w:rsidR="00617E19">
        <w:t xml:space="preserve"> in MAC.</w:t>
      </w:r>
      <w:r>
        <w:t xml:space="preserve"> </w:t>
      </w:r>
      <w:r w:rsidR="002030B5">
        <w:t xml:space="preserve"> </w:t>
      </w:r>
    </w:p>
    <w:p w14:paraId="32BDF2FD" w14:textId="39B04BBE" w:rsidR="002030B5" w:rsidRDefault="00CE646B" w:rsidP="002030B5">
      <w:r>
        <w:t xml:space="preserve">An </w:t>
      </w:r>
      <w:r w:rsidR="002030B5">
        <w:t>issue related to Proposal 1 is the following section from 5.1.2 in the MAC specification. If Random Access Preambles group B exists, then BL UEs and UEs in enhanced coverage would perform selection of “Random Access Preambles group” twice, and hence the first selection is overruled by the second selection.</w:t>
      </w:r>
    </w:p>
    <w:p w14:paraId="3C1F9F70" w14:textId="77777777" w:rsidR="002030B5" w:rsidRDefault="002030B5" w:rsidP="002030B5">
      <w:r>
        <w:t xml:space="preserve">See the below, the </w:t>
      </w:r>
      <w:r w:rsidRPr="00823274">
        <w:rPr>
          <w:highlight w:val="cyan"/>
        </w:rPr>
        <w:t>blue</w:t>
      </w:r>
      <w:r>
        <w:t xml:space="preserve"> will be performed and it makes the UE select the preambles associated with a CE-level. However, if preambles group B exists then the UE will also perform one of the </w:t>
      </w:r>
      <w:r w:rsidRPr="00823274">
        <w:rPr>
          <w:highlight w:val="yellow"/>
        </w:rPr>
        <w:t>yellow lines</w:t>
      </w:r>
      <w:r>
        <w:t>, and when that happens the blue selection will be obsolete.</w:t>
      </w:r>
    </w:p>
    <w:p w14:paraId="24346920" w14:textId="77777777" w:rsidR="002030B5" w:rsidRPr="00823274" w:rsidRDefault="002030B5" w:rsidP="002030B5"/>
    <w:tbl>
      <w:tblPr>
        <w:tblStyle w:val="TableGrid"/>
        <w:tblW w:w="0" w:type="auto"/>
        <w:tblInd w:w="534" w:type="dxa"/>
        <w:tblLook w:val="04A0" w:firstRow="1" w:lastRow="0" w:firstColumn="1" w:lastColumn="0" w:noHBand="0" w:noVBand="1"/>
      </w:tblPr>
      <w:tblGrid>
        <w:gridCol w:w="9245"/>
      </w:tblGrid>
      <w:tr w:rsidR="002030B5" w14:paraId="4830DB75" w14:textId="77777777" w:rsidTr="00272468">
        <w:tc>
          <w:tcPr>
            <w:tcW w:w="9245" w:type="dxa"/>
          </w:tcPr>
          <w:p w14:paraId="7A6EDDD7" w14:textId="77777777" w:rsidR="00CE64FB" w:rsidRDefault="00CE64FB" w:rsidP="00CE64FB">
            <w:pPr>
              <w:pStyle w:val="B1"/>
              <w:rPr>
                <w:noProof/>
              </w:rPr>
            </w:pPr>
            <w:r w:rsidRPr="002F4F3B">
              <w:rPr>
                <w:noProof/>
              </w:rPr>
              <w:t>-</w:t>
            </w:r>
            <w:r w:rsidRPr="002F4F3B">
              <w:rPr>
                <w:noProof/>
              </w:rPr>
              <w:tab/>
              <w:t xml:space="preserve">else the Random Access Preamble shall be selected by the </w:t>
            </w:r>
            <w:r>
              <w:rPr>
                <w:noProof/>
              </w:rPr>
              <w:t>MAC entity</w:t>
            </w:r>
            <w:r w:rsidRPr="002F4F3B">
              <w:rPr>
                <w:noProof/>
              </w:rPr>
              <w:t xml:space="preserve"> as follows:</w:t>
            </w:r>
          </w:p>
          <w:p w14:paraId="0A418A87" w14:textId="77777777" w:rsidR="00CE64FB" w:rsidRPr="002F4F3B" w:rsidRDefault="00CE64FB" w:rsidP="00CE64FB">
            <w:pPr>
              <w:pStyle w:val="B2"/>
              <w:rPr>
                <w:noProof/>
                <w:lang w:eastAsia="sv-SE"/>
              </w:rPr>
            </w:pPr>
            <w:r>
              <w:rPr>
                <w:noProof/>
                <w:lang w:eastAsia="sv-SE"/>
              </w:rPr>
              <w:t>-</w:t>
            </w:r>
            <w:r>
              <w:rPr>
                <w:noProof/>
                <w:lang w:eastAsia="sv-SE"/>
              </w:rPr>
              <w:tab/>
              <w:t xml:space="preserve">For </w:t>
            </w:r>
            <w:r w:rsidRPr="002D3496">
              <w:rPr>
                <w:noProof/>
                <w:lang w:eastAsia="sv-SE"/>
              </w:rPr>
              <w:t>NB-IoT,</w:t>
            </w:r>
            <w:r>
              <w:rPr>
                <w:noProof/>
                <w:lang w:eastAsia="sv-SE"/>
              </w:rPr>
              <w:t xml:space="preserve"> randomly </w:t>
            </w:r>
            <w:r w:rsidRPr="00201572">
              <w:rPr>
                <w:noProof/>
                <w:lang w:eastAsia="sv-SE"/>
              </w:rPr>
              <w:t>select</w:t>
            </w:r>
            <w:r>
              <w:rPr>
                <w:noProof/>
                <w:lang w:eastAsia="sv-SE"/>
              </w:rPr>
              <w:t xml:space="preserve"> one of</w:t>
            </w:r>
            <w:r w:rsidRPr="00201572">
              <w:rPr>
                <w:noProof/>
                <w:lang w:eastAsia="sv-SE"/>
              </w:rPr>
              <w:t xml:space="preserve"> the PRACH resource</w:t>
            </w:r>
            <w:r>
              <w:rPr>
                <w:noProof/>
                <w:lang w:eastAsia="sv-SE"/>
              </w:rPr>
              <w:t>s</w:t>
            </w:r>
            <w:r w:rsidRPr="00201572">
              <w:rPr>
                <w:noProof/>
                <w:lang w:eastAsia="sv-SE"/>
              </w:rPr>
              <w:t xml:space="preserve"> corresponding to the selected enhanced coverage level</w:t>
            </w:r>
            <w:r>
              <w:rPr>
                <w:noProof/>
                <w:lang w:eastAsia="sv-SE"/>
              </w:rPr>
              <w:t xml:space="preserve"> according to the configured probability distribution</w:t>
            </w:r>
            <w:r w:rsidRPr="00201572">
              <w:rPr>
                <w:noProof/>
                <w:lang w:eastAsia="sv-SE"/>
              </w:rPr>
              <w:t>, and select the Random Access Preambles group</w:t>
            </w:r>
            <w:r w:rsidRPr="00651935">
              <w:rPr>
                <w:noProof/>
                <w:lang w:eastAsia="sv-SE"/>
              </w:rPr>
              <w:t xml:space="preserve"> corresponding</w:t>
            </w:r>
            <w:r>
              <w:rPr>
                <w:noProof/>
                <w:lang w:eastAsia="sv-SE"/>
              </w:rPr>
              <w:t xml:space="preserve"> to</w:t>
            </w:r>
            <w:r w:rsidRPr="002F4F3B">
              <w:rPr>
                <w:noProof/>
                <w:lang w:eastAsia="sv-SE"/>
              </w:rPr>
              <w:t xml:space="preserve"> </w:t>
            </w:r>
            <w:r w:rsidRPr="00201572">
              <w:rPr>
                <w:noProof/>
                <w:lang w:eastAsia="sv-SE"/>
              </w:rPr>
              <w:t xml:space="preserve">the PRACH resource and </w:t>
            </w:r>
            <w:r>
              <w:rPr>
                <w:noProof/>
                <w:lang w:eastAsia="sv-SE"/>
              </w:rPr>
              <w:t>t</w:t>
            </w:r>
            <w:r w:rsidRPr="00012393">
              <w:rPr>
                <w:noProof/>
                <w:lang w:eastAsia="sv-SE"/>
              </w:rPr>
              <w:t>he support for multi-tone</w:t>
            </w:r>
            <w:r>
              <w:rPr>
                <w:noProof/>
                <w:lang w:eastAsia="sv-SE"/>
              </w:rPr>
              <w:t xml:space="preserve"> Msg3</w:t>
            </w:r>
            <w:r w:rsidRPr="00012393">
              <w:rPr>
                <w:noProof/>
                <w:lang w:eastAsia="sv-SE"/>
              </w:rPr>
              <w:t xml:space="preserve"> transmission</w:t>
            </w:r>
            <w:r>
              <w:rPr>
                <w:noProof/>
                <w:lang w:eastAsia="sv-SE"/>
              </w:rPr>
              <w:t xml:space="preserve">. </w:t>
            </w:r>
            <w:r w:rsidRPr="00711D2A">
              <w:rPr>
                <w:noProof/>
                <w:lang w:eastAsia="sv-SE"/>
              </w:rPr>
              <w:t>A UE supporting multi-tone Msg3 shall</w:t>
            </w:r>
            <w:r>
              <w:rPr>
                <w:noProof/>
                <w:lang w:eastAsia="sv-SE"/>
              </w:rPr>
              <w:t xml:space="preserve"> only</w:t>
            </w:r>
            <w:r w:rsidRPr="00711D2A">
              <w:rPr>
                <w:noProof/>
                <w:lang w:eastAsia="sv-SE"/>
              </w:rPr>
              <w:t xml:space="preserve"> select the single-tone Msg3 Random Access Preambles group if the</w:t>
            </w:r>
            <w:r>
              <w:rPr>
                <w:noProof/>
                <w:lang w:eastAsia="sv-SE"/>
              </w:rPr>
              <w:t>re is no</w:t>
            </w:r>
            <w:r w:rsidRPr="00711D2A">
              <w:rPr>
                <w:noProof/>
                <w:lang w:eastAsia="sv-SE"/>
              </w:rPr>
              <w:t xml:space="preserve"> multi-tone Msg3 Random Access Preambles group.</w:t>
            </w:r>
          </w:p>
          <w:p w14:paraId="0F6C159E" w14:textId="77777777" w:rsidR="00CE64FB" w:rsidRPr="00012393" w:rsidRDefault="00CE64FB" w:rsidP="00CE64FB">
            <w:pPr>
              <w:pStyle w:val="B2"/>
              <w:rPr>
                <w:noProof/>
                <w:lang w:eastAsia="sv-SE"/>
              </w:rPr>
            </w:pPr>
            <w:r w:rsidRPr="00012393">
              <w:rPr>
                <w:noProof/>
                <w:lang w:eastAsia="sv-SE"/>
              </w:rPr>
              <w:t>-</w:t>
            </w:r>
            <w:r w:rsidRPr="00012393">
              <w:rPr>
                <w:noProof/>
                <w:lang w:eastAsia="sv-SE"/>
              </w:rPr>
              <w:tab/>
              <w:t xml:space="preserve">If </w:t>
            </w:r>
            <w:r w:rsidRPr="00012393">
              <w:rPr>
                <w:rFonts w:eastAsia="SimSun"/>
                <w:noProof/>
                <w:lang w:eastAsia="sv-SE"/>
              </w:rPr>
              <w:t>Msg3</w:t>
            </w:r>
            <w:r w:rsidRPr="00012393">
              <w:rPr>
                <w:noProof/>
                <w:lang w:eastAsia="sv-SE"/>
              </w:rPr>
              <w:t xml:space="preserve"> has not yet been transmitted, the MAC entity shall</w:t>
            </w:r>
            <w:r>
              <w:rPr>
                <w:noProof/>
                <w:lang w:eastAsia="sv-SE"/>
              </w:rPr>
              <w:t>,</w:t>
            </w:r>
            <w:r w:rsidRPr="00012393">
              <w:rPr>
                <w:noProof/>
                <w:lang w:eastAsia="sv-SE"/>
              </w:rPr>
              <w:t xml:space="preserve"> for BL UEs or UEs in enhanced coverage:</w:t>
            </w:r>
          </w:p>
          <w:p w14:paraId="40860732" w14:textId="77777777" w:rsidR="00CE64FB" w:rsidRDefault="00CE64FB" w:rsidP="00CE64FB">
            <w:pPr>
              <w:pStyle w:val="B3"/>
            </w:pPr>
            <w:r w:rsidRPr="00012393">
              <w:rPr>
                <w:noProof/>
                <w:lang w:eastAsia="sv-SE"/>
              </w:rPr>
              <w:t>-</w:t>
            </w:r>
            <w:r w:rsidRPr="00012393">
              <w:rPr>
                <w:noProof/>
                <w:lang w:eastAsia="sv-SE"/>
              </w:rPr>
              <w:tab/>
            </w:r>
            <w:r w:rsidRPr="00CE64FB">
              <w:rPr>
                <w:highlight w:val="cyan"/>
              </w:rPr>
              <w:t>select the Random Access Preambles group and the PRACH resource corresponding to the selected enhanced coverage</w:t>
            </w:r>
            <w:r w:rsidRPr="00CE64FB">
              <w:rPr>
                <w:noProof/>
                <w:highlight w:val="cyan"/>
              </w:rPr>
              <w:t xml:space="preserve"> </w:t>
            </w:r>
            <w:r w:rsidRPr="00CE64FB">
              <w:rPr>
                <w:highlight w:val="cyan"/>
              </w:rPr>
              <w:t>level;</w:t>
            </w:r>
          </w:p>
          <w:p w14:paraId="70CED6DD" w14:textId="77777777" w:rsidR="00CE64FB" w:rsidRPr="002F4F3B" w:rsidRDefault="00CE64FB" w:rsidP="00CE64FB">
            <w:pPr>
              <w:pStyle w:val="B2"/>
              <w:rPr>
                <w:noProof/>
              </w:rPr>
            </w:pPr>
            <w:r w:rsidRPr="002F4F3B">
              <w:rPr>
                <w:noProof/>
              </w:rPr>
              <w:t>-</w:t>
            </w:r>
            <w:r w:rsidRPr="002F4F3B">
              <w:rPr>
                <w:noProof/>
              </w:rPr>
              <w:tab/>
            </w:r>
            <w:r>
              <w:rPr>
                <w:noProof/>
              </w:rPr>
              <w:t>except for NB-IoT, i</w:t>
            </w:r>
            <w:r w:rsidRPr="002F4F3B">
              <w:rPr>
                <w:noProof/>
              </w:rPr>
              <w:t xml:space="preserve">f </w:t>
            </w:r>
            <w:r w:rsidRPr="002F4F3B">
              <w:rPr>
                <w:rFonts w:eastAsia="SimSun"/>
                <w:noProof/>
                <w:lang w:eastAsia="zh-CN"/>
              </w:rPr>
              <w:t>Msg3</w:t>
            </w:r>
            <w:r w:rsidRPr="002F4F3B">
              <w:rPr>
                <w:noProof/>
              </w:rPr>
              <w:t xml:space="preserve"> has not yet been transmitted, the </w:t>
            </w:r>
            <w:r>
              <w:rPr>
                <w:noProof/>
              </w:rPr>
              <w:t>MAC entity</w:t>
            </w:r>
            <w:r w:rsidRPr="002F4F3B">
              <w:rPr>
                <w:noProof/>
              </w:rPr>
              <w:t xml:space="preserve"> shall</w:t>
            </w:r>
            <w:r>
              <w:rPr>
                <w:noProof/>
              </w:rPr>
              <w:t>, except for BL UEs or UEs in enhanced coverage in case preamble group B does not exists</w:t>
            </w:r>
            <w:r w:rsidRPr="002F4F3B">
              <w:rPr>
                <w:noProof/>
              </w:rPr>
              <w:t>:</w:t>
            </w:r>
          </w:p>
          <w:p w14:paraId="4A15C3FC" w14:textId="77777777" w:rsidR="00CE64FB" w:rsidRDefault="00CE64FB" w:rsidP="00CE64FB">
            <w:pPr>
              <w:pStyle w:val="B3"/>
              <w:rPr>
                <w:noProof/>
              </w:rPr>
            </w:pPr>
            <w:r w:rsidRPr="002F4F3B">
              <w:rPr>
                <w:noProof/>
              </w:rPr>
              <w:t>-</w:t>
            </w:r>
            <w:r w:rsidRPr="002F4F3B">
              <w:rPr>
                <w:noProof/>
              </w:rPr>
              <w:tab/>
              <w:t>if Random Access Preambles group B exists</w:t>
            </w:r>
            <w:r>
              <w:rPr>
                <w:rFonts w:hint="eastAsia"/>
                <w:noProof/>
              </w:rPr>
              <w:t xml:space="preserve"> </w:t>
            </w:r>
            <w:r w:rsidRPr="00F410E2">
              <w:rPr>
                <w:rFonts w:hint="eastAsia"/>
                <w:noProof/>
              </w:rPr>
              <w:t>and any of the following events occur</w:t>
            </w:r>
            <w:r>
              <w:rPr>
                <w:rFonts w:hint="eastAsia"/>
                <w:noProof/>
              </w:rPr>
              <w:t>:</w:t>
            </w:r>
          </w:p>
          <w:p w14:paraId="400C835F" w14:textId="77777777" w:rsidR="00CE64FB" w:rsidRDefault="00CE64FB" w:rsidP="00CE64FB">
            <w:pPr>
              <w:pStyle w:val="B4"/>
              <w:rPr>
                <w:i/>
                <w:noProof/>
              </w:rPr>
            </w:pPr>
            <w:r w:rsidRPr="004950D6">
              <w:rPr>
                <w:noProof/>
              </w:rPr>
              <w:t>-</w:t>
            </w:r>
            <w:r w:rsidRPr="004950D6">
              <w:rPr>
                <w:noProof/>
              </w:rPr>
              <w:tab/>
            </w:r>
            <w:r w:rsidRPr="002F4F3B">
              <w:rPr>
                <w:noProof/>
              </w:rPr>
              <w:t>the potential message size (</w:t>
            </w:r>
            <w:r>
              <w:rPr>
                <w:noProof/>
              </w:rPr>
              <w:t xml:space="preserve">UL </w:t>
            </w:r>
            <w:r w:rsidRPr="002F4F3B">
              <w:rPr>
                <w:noProof/>
              </w:rPr>
              <w:t xml:space="preserve">data available for transmission plus MAC header and, where required, MAC control elements) is greater than </w:t>
            </w:r>
            <w:r w:rsidRPr="002F4F3B">
              <w:rPr>
                <w:i/>
                <w:noProof/>
              </w:rPr>
              <w:t>messageSizeGroupA</w:t>
            </w:r>
            <w:r w:rsidRPr="002F4F3B">
              <w:rPr>
                <w:noProof/>
              </w:rPr>
              <w:t xml:space="preserve"> and the pathloss is less than P</w:t>
            </w:r>
            <w:r w:rsidRPr="002F4F3B">
              <w:rPr>
                <w:noProof/>
                <w:vertAlign w:val="subscript"/>
              </w:rPr>
              <w:t xml:space="preserve">CMAX,c </w:t>
            </w:r>
            <w:r w:rsidRPr="002F4F3B">
              <w:rPr>
                <w:noProof/>
              </w:rPr>
              <w:t xml:space="preserve">(of the Serving Cell performing the Random Access Procedure) </w:t>
            </w:r>
            <w:r w:rsidRPr="002F4F3B">
              <w:t>–</w:t>
            </w:r>
            <w:r w:rsidRPr="002F4F3B">
              <w:rPr>
                <w:noProof/>
              </w:rPr>
              <w:t xml:space="preserve"> </w:t>
            </w:r>
            <w:r w:rsidRPr="002F4F3B">
              <w:rPr>
                <w:i/>
              </w:rPr>
              <w:t>preambleInitialReceivedTargetPower</w:t>
            </w:r>
            <w:r w:rsidRPr="002F4F3B">
              <w:rPr>
                <w:noProof/>
              </w:rPr>
              <w:t xml:space="preserve"> </w:t>
            </w:r>
            <w:r w:rsidRPr="002F4F3B">
              <w:t>–</w:t>
            </w:r>
            <w:r w:rsidRPr="002F4F3B">
              <w:rPr>
                <w:noProof/>
              </w:rPr>
              <w:t xml:space="preserve"> </w:t>
            </w:r>
            <w:r w:rsidRPr="002F4F3B">
              <w:rPr>
                <w:i/>
              </w:rPr>
              <w:t>deltaPreambleMsg3</w:t>
            </w:r>
            <w:r w:rsidRPr="002F4F3B">
              <w:t xml:space="preserve"> – </w:t>
            </w:r>
            <w:r w:rsidRPr="002F4F3B">
              <w:rPr>
                <w:i/>
                <w:noProof/>
              </w:rPr>
              <w:lastRenderedPageBreak/>
              <w:t>messagePowerOffsetGroupB</w:t>
            </w:r>
            <w:r w:rsidRPr="009142F6">
              <w:rPr>
                <w:rFonts w:hint="eastAsia"/>
                <w:noProof/>
              </w:rPr>
              <w:t>;</w:t>
            </w:r>
          </w:p>
          <w:p w14:paraId="3B18B1C6" w14:textId="77777777" w:rsidR="00CE64FB" w:rsidRPr="002F4F3B" w:rsidRDefault="00CE64FB" w:rsidP="00CE64FB">
            <w:pPr>
              <w:pStyle w:val="B4"/>
              <w:rPr>
                <w:noProof/>
              </w:rPr>
            </w:pPr>
            <w:r w:rsidRPr="004950D6">
              <w:rPr>
                <w:noProof/>
              </w:rPr>
              <w:t>-</w:t>
            </w:r>
            <w:r w:rsidRPr="004950D6">
              <w:rPr>
                <w:noProof/>
              </w:rPr>
              <w:tab/>
            </w:r>
            <w:r w:rsidRPr="002F4F3B">
              <w:rPr>
                <w:noProof/>
              </w:rPr>
              <w:t xml:space="preserve">the </w:t>
            </w:r>
            <w:r>
              <w:rPr>
                <w:rFonts w:hint="eastAsia"/>
                <w:noProof/>
              </w:rPr>
              <w:t>Random Access procedure</w:t>
            </w:r>
            <w:r w:rsidRPr="002F4F3B">
              <w:rPr>
                <w:noProof/>
              </w:rPr>
              <w:t xml:space="preserve"> </w:t>
            </w:r>
            <w:r>
              <w:rPr>
                <w:rFonts w:hint="eastAsia"/>
                <w:noProof/>
              </w:rPr>
              <w:t xml:space="preserve">was initiated </w:t>
            </w:r>
            <w:r w:rsidRPr="002F4F3B">
              <w:rPr>
                <w:noProof/>
              </w:rPr>
              <w:t>for the CCCH logical channel</w:t>
            </w:r>
            <w:r>
              <w:rPr>
                <w:rFonts w:hint="eastAsia"/>
                <w:noProof/>
              </w:rPr>
              <w:t xml:space="preserve"> and the CCCH SDU size </w:t>
            </w:r>
            <w:r w:rsidRPr="00BB0058">
              <w:rPr>
                <w:noProof/>
              </w:rPr>
              <w:t>plus MAC header</w:t>
            </w:r>
            <w:r>
              <w:rPr>
                <w:noProof/>
              </w:rPr>
              <w:t xml:space="preserve"> </w:t>
            </w:r>
            <w:r>
              <w:rPr>
                <w:rFonts w:hint="eastAsia"/>
                <w:noProof/>
              </w:rPr>
              <w:t xml:space="preserve">is greater than </w:t>
            </w:r>
            <w:r w:rsidRPr="009142F6">
              <w:rPr>
                <w:rFonts w:hint="eastAsia"/>
                <w:i/>
                <w:noProof/>
              </w:rPr>
              <w:t>messageSizeGroupA</w:t>
            </w:r>
            <w:r>
              <w:t>;</w:t>
            </w:r>
          </w:p>
          <w:p w14:paraId="3D68BFBD" w14:textId="77777777" w:rsidR="00CE64FB" w:rsidRPr="002F4F3B" w:rsidRDefault="00CE64FB" w:rsidP="00CE64FB">
            <w:pPr>
              <w:pStyle w:val="B5"/>
              <w:rPr>
                <w:noProof/>
              </w:rPr>
            </w:pPr>
            <w:r w:rsidRPr="00CE64FB">
              <w:rPr>
                <w:noProof/>
                <w:highlight w:val="yellow"/>
              </w:rPr>
              <w:t>-</w:t>
            </w:r>
            <w:r w:rsidRPr="00CE64FB">
              <w:rPr>
                <w:noProof/>
                <w:highlight w:val="yellow"/>
              </w:rPr>
              <w:tab/>
              <w:t>select the Random Access Preambles group B;</w:t>
            </w:r>
          </w:p>
          <w:p w14:paraId="76908216" w14:textId="77777777" w:rsidR="00CE64FB" w:rsidRPr="002F4F3B" w:rsidRDefault="00CE64FB" w:rsidP="00CE64FB">
            <w:pPr>
              <w:pStyle w:val="B3"/>
              <w:rPr>
                <w:noProof/>
              </w:rPr>
            </w:pPr>
            <w:r w:rsidRPr="002F4F3B">
              <w:rPr>
                <w:noProof/>
              </w:rPr>
              <w:t>-</w:t>
            </w:r>
            <w:r w:rsidRPr="002F4F3B">
              <w:rPr>
                <w:noProof/>
              </w:rPr>
              <w:tab/>
              <w:t>else:</w:t>
            </w:r>
          </w:p>
          <w:p w14:paraId="691E3DAC" w14:textId="34CEDA9C" w:rsidR="002030B5" w:rsidRDefault="00CE64FB" w:rsidP="00CE64FB">
            <w:pPr>
              <w:pStyle w:val="B4"/>
              <w:rPr>
                <w:noProof/>
              </w:rPr>
            </w:pPr>
            <w:r w:rsidRPr="00CE64FB">
              <w:rPr>
                <w:noProof/>
                <w:highlight w:val="yellow"/>
              </w:rPr>
              <w:t>-</w:t>
            </w:r>
            <w:r w:rsidRPr="00CE64FB">
              <w:rPr>
                <w:noProof/>
                <w:highlight w:val="yellow"/>
              </w:rPr>
              <w:tab/>
              <w:t>select the Random Access Preambles group A.</w:t>
            </w:r>
          </w:p>
        </w:tc>
      </w:tr>
    </w:tbl>
    <w:p w14:paraId="155FE788" w14:textId="77777777" w:rsidR="002030B5" w:rsidRDefault="002030B5" w:rsidP="002030B5"/>
    <w:p w14:paraId="1B41FF96" w14:textId="68ABDAB9" w:rsidR="002030B5" w:rsidRDefault="002030B5" w:rsidP="002030B5">
      <w:r>
        <w:t xml:space="preserve">The blue text refers to the selection of </w:t>
      </w:r>
      <w:r w:rsidRPr="004A592C">
        <w:t>one type of</w:t>
      </w:r>
      <w:r>
        <w:t xml:space="preserve"> group of preambles (associated with CE-levels), while the yellow refers to another </w:t>
      </w:r>
      <w:r w:rsidRPr="004A592C">
        <w:t>type</w:t>
      </w:r>
      <w:r>
        <w:t xml:space="preserve"> of group (i.e. group A or group B). If companies agree that these groups cannot be configured simultaneously, then in practise the procedure is correct</w:t>
      </w:r>
      <w:r w:rsidR="001F3ED5">
        <w:t>.</w:t>
      </w:r>
      <w:r>
        <w:t xml:space="preserve"> However, if this is not agreed, then the procedure is not </w:t>
      </w:r>
      <w:r w:rsidR="001F3ED5">
        <w:t>unambiguous</w:t>
      </w:r>
      <w:r>
        <w:t xml:space="preserve">. We think this ambiguity can be solved </w:t>
      </w:r>
      <w:r w:rsidR="004A592C">
        <w:t xml:space="preserve">for example </w:t>
      </w:r>
      <w:r>
        <w:t>by calling one of these types of group a “set” instead of a “group”.</w:t>
      </w:r>
      <w:r w:rsidR="001F3ED5">
        <w:t xml:space="preserve"> </w:t>
      </w:r>
      <w:r w:rsidR="000E6FA6">
        <w:t>Such a renaming could be considered in either case as it may improve understanding.</w:t>
      </w:r>
    </w:p>
    <w:p w14:paraId="4DF6D34A" w14:textId="79B8FC46" w:rsidR="002030B5" w:rsidRDefault="002030B5" w:rsidP="002030B5">
      <w:pPr>
        <w:pStyle w:val="Proposal"/>
      </w:pPr>
      <w:bookmarkStart w:id="7" w:name="_Toc474428027"/>
      <w:bookmarkStart w:id="8" w:name="_Toc474668108"/>
      <w:bookmarkStart w:id="9" w:name="_Toc474668915"/>
      <w:r>
        <w:t>RAN2 to discuss if preambles associated with a CE-level is called a “set” instead of a “group”, to avoid ambiguity between the different types of preamble groups.</w:t>
      </w:r>
      <w:bookmarkEnd w:id="7"/>
      <w:bookmarkEnd w:id="8"/>
      <w:bookmarkEnd w:id="9"/>
    </w:p>
    <w:p w14:paraId="54327ECF" w14:textId="77777777" w:rsidR="002030B5" w:rsidRDefault="002030B5" w:rsidP="006E062C"/>
    <w:p w14:paraId="3037BF44" w14:textId="5C71948C" w:rsidR="002030B5" w:rsidRDefault="00FC7A15" w:rsidP="00161EB4">
      <w:pPr>
        <w:pStyle w:val="Heading2"/>
      </w:pPr>
      <w:r>
        <w:t>Retransmission of Msg3</w:t>
      </w:r>
    </w:p>
    <w:p w14:paraId="59573A61" w14:textId="6C6C5F66" w:rsidR="00B90D0E" w:rsidRDefault="00FC7A15" w:rsidP="006E062C">
      <w:r>
        <w:t>I</w:t>
      </w:r>
      <w:r w:rsidR="002030B5">
        <w:t xml:space="preserve">n </w:t>
      </w:r>
      <w:r w:rsidR="00B90D0E">
        <w:t xml:space="preserve">the current MAC specification, when Msg3 has been transmitted the UE shall select the same group of preambles as was used for the first transmission of Msg3. See excerpt below. This means that if the UE has transmitted Msg3 but contention resolution fails (which </w:t>
      </w:r>
      <w:r w:rsidR="000E6FA6">
        <w:t xml:space="preserve">could </w:t>
      </w:r>
      <w:r w:rsidR="00B90D0E">
        <w:t xml:space="preserve">happen if another UE happened to select the same preamble), the UE would select the same “group” of preambles.  </w:t>
      </w:r>
    </w:p>
    <w:p w14:paraId="5DE2270E" w14:textId="2EDC1578" w:rsidR="00B90D0E" w:rsidRDefault="00B90D0E" w:rsidP="006E062C"/>
    <w:tbl>
      <w:tblPr>
        <w:tblStyle w:val="TableGrid"/>
        <w:tblW w:w="0" w:type="auto"/>
        <w:tblInd w:w="1101" w:type="dxa"/>
        <w:tblLook w:val="04A0" w:firstRow="1" w:lastRow="0" w:firstColumn="1" w:lastColumn="0" w:noHBand="0" w:noVBand="1"/>
      </w:tblPr>
      <w:tblGrid>
        <w:gridCol w:w="7654"/>
      </w:tblGrid>
      <w:tr w:rsidR="00B90D0E" w14:paraId="38242A8D" w14:textId="77777777" w:rsidTr="00B90D0E">
        <w:tc>
          <w:tcPr>
            <w:tcW w:w="7654" w:type="dxa"/>
          </w:tcPr>
          <w:p w14:paraId="142C0632" w14:textId="77777777" w:rsidR="00B90D0E" w:rsidRPr="002F4F3B" w:rsidRDefault="00B90D0E" w:rsidP="00B90D0E">
            <w:pPr>
              <w:pStyle w:val="B2"/>
              <w:rPr>
                <w:noProof/>
              </w:rPr>
            </w:pPr>
            <w:r w:rsidRPr="002F4F3B">
              <w:rPr>
                <w:noProof/>
              </w:rPr>
              <w:t>-</w:t>
            </w:r>
            <w:r w:rsidRPr="002F4F3B">
              <w:rPr>
                <w:noProof/>
              </w:rPr>
              <w:tab/>
            </w:r>
            <w:r w:rsidRPr="002F4F3B">
              <w:t xml:space="preserve">else, if </w:t>
            </w:r>
            <w:r w:rsidRPr="002F4F3B">
              <w:rPr>
                <w:noProof/>
              </w:rPr>
              <w:t>Msg3</w:t>
            </w:r>
            <w:r w:rsidRPr="002F4F3B">
              <w:t xml:space="preserve"> is being retransmitted, the </w:t>
            </w:r>
            <w:r>
              <w:t>MAC entity</w:t>
            </w:r>
            <w:r w:rsidRPr="002F4F3B">
              <w:t xml:space="preserve"> shall</w:t>
            </w:r>
            <w:r w:rsidRPr="002F4F3B">
              <w:rPr>
                <w:noProof/>
              </w:rPr>
              <w:t>:</w:t>
            </w:r>
          </w:p>
          <w:p w14:paraId="77F66B8D" w14:textId="77777777" w:rsidR="00B90D0E" w:rsidRPr="002F4F3B" w:rsidRDefault="00B90D0E" w:rsidP="00B90D0E">
            <w:pPr>
              <w:pStyle w:val="B3"/>
              <w:rPr>
                <w:noProof/>
              </w:rPr>
            </w:pPr>
            <w:r w:rsidRPr="002F4F3B">
              <w:rPr>
                <w:noProof/>
              </w:rPr>
              <w:t>-</w:t>
            </w:r>
            <w:r w:rsidRPr="002F4F3B">
              <w:rPr>
                <w:noProof/>
              </w:rPr>
              <w:tab/>
              <w:t xml:space="preserve">select the </w:t>
            </w:r>
            <w:r w:rsidRPr="00B90D0E">
              <w:rPr>
                <w:noProof/>
                <w:color w:val="FF0000"/>
              </w:rPr>
              <w:t>same group of Random Access Preambles</w:t>
            </w:r>
            <w:r w:rsidRPr="002F4F3B">
              <w:rPr>
                <w:noProof/>
              </w:rPr>
              <w:t xml:space="preserve"> as was used for the preamble transmission attempt corresponding to the first transmission of </w:t>
            </w:r>
            <w:r w:rsidRPr="002F4F3B">
              <w:rPr>
                <w:rFonts w:eastAsia="SimSun"/>
                <w:noProof/>
                <w:lang w:eastAsia="zh-CN"/>
              </w:rPr>
              <w:t>Msg3</w:t>
            </w:r>
            <w:r w:rsidRPr="002F4F3B">
              <w:rPr>
                <w:noProof/>
              </w:rPr>
              <w:t>.</w:t>
            </w:r>
          </w:p>
          <w:p w14:paraId="7F032EB7" w14:textId="77777777" w:rsidR="00B90D0E" w:rsidRDefault="00B90D0E" w:rsidP="006E062C"/>
        </w:tc>
      </w:tr>
    </w:tbl>
    <w:p w14:paraId="236512BD" w14:textId="47F69ABC" w:rsidR="00B90D0E" w:rsidRDefault="00B90D0E" w:rsidP="006E062C"/>
    <w:p w14:paraId="39FE6150" w14:textId="47E28DDD" w:rsidR="00E95BB6" w:rsidRDefault="00B90D0E" w:rsidP="006E062C">
      <w:r>
        <w:t xml:space="preserve">The </w:t>
      </w:r>
      <w:r w:rsidR="000E6FA6">
        <w:t xml:space="preserve">background to the </w:t>
      </w:r>
      <w:r>
        <w:t xml:space="preserve">legacy (pre-MTC) </w:t>
      </w:r>
      <w:r w:rsidR="000E6FA6">
        <w:t>UE behaviour</w:t>
      </w:r>
      <w:r>
        <w:t xml:space="preserve"> of selecting the </w:t>
      </w:r>
      <w:r w:rsidR="00E95BB6">
        <w:t>“</w:t>
      </w:r>
      <w:r>
        <w:t>same</w:t>
      </w:r>
      <w:r w:rsidR="00E95BB6">
        <w:t>”</w:t>
      </w:r>
      <w:r>
        <w:t xml:space="preserve"> preambles group was to ensure that the UE selects a preamble from group A, if the UE used group A last time Msg3 was transmission, </w:t>
      </w:r>
      <w:r w:rsidR="00E95BB6">
        <w:t>and</w:t>
      </w:r>
      <w:r>
        <w:t xml:space="preserve"> use group B if the UE used group B last time msg3 was transmitted. </w:t>
      </w:r>
      <w:r w:rsidR="000E6FA6">
        <w:t xml:space="preserve">This is to ensure that the TB size would match the size of the Msg3 PDU </w:t>
      </w:r>
      <w:r w:rsidR="00E95BB6">
        <w:t>since the Msg3 sizes may be different for group A and group B.</w:t>
      </w:r>
    </w:p>
    <w:p w14:paraId="061C151F" w14:textId="56CE800A" w:rsidR="00E95BB6" w:rsidRDefault="00E95BB6" w:rsidP="00E95BB6">
      <w:r>
        <w:t xml:space="preserve">However, </w:t>
      </w:r>
      <w:r w:rsidR="002030B5">
        <w:t xml:space="preserve">in the eMTC scenario, </w:t>
      </w:r>
      <w:r>
        <w:t xml:space="preserve">if the UE selects the preambles of the “same” </w:t>
      </w:r>
      <w:r w:rsidRPr="00161EB4">
        <w:rPr>
          <w:i/>
        </w:rPr>
        <w:t>CE-level</w:t>
      </w:r>
      <w:r w:rsidR="00E946C0">
        <w:t xml:space="preserve"> preamble group</w:t>
      </w:r>
      <w:r>
        <w:t xml:space="preserve">, then the UE would </w:t>
      </w:r>
      <w:r w:rsidR="00E946C0">
        <w:t xml:space="preserve">effectively </w:t>
      </w:r>
      <w:r w:rsidRPr="00161EB4">
        <w:rPr>
          <w:b/>
        </w:rPr>
        <w:t>not</w:t>
      </w:r>
      <w:r>
        <w:t xml:space="preserve"> go to the next CE level if Msg3 has ever been transmitted. For example, if the UE sends a preamble of CE-level 1 and the eNB hears another UE which happened to use the same preamble, then contention resolution would fail for the UE and the UE should </w:t>
      </w:r>
      <w:r w:rsidR="00E946C0">
        <w:t xml:space="preserve">retry </w:t>
      </w:r>
      <w:r>
        <w:t>sending preambles.</w:t>
      </w:r>
      <w:r w:rsidR="00E946C0">
        <w:t xml:space="preserve"> When the UE at a subsequent attempt does not receive a RAR corresponding to the sent preamble and a change to the next CE level is triggered, the UE is applies </w:t>
      </w:r>
      <w:r w:rsidR="00E946C0" w:rsidRPr="00161EB4">
        <w:rPr>
          <w:b/>
        </w:rPr>
        <w:t>other parameters corresponding to the next CE level</w:t>
      </w:r>
      <w:r w:rsidR="00E946C0">
        <w:t>, but</w:t>
      </w:r>
      <w:r w:rsidR="00161EB4">
        <w:t>,</w:t>
      </w:r>
      <w:r w:rsidR="00E946C0">
        <w:t xml:space="preserve"> according to the red text above</w:t>
      </w:r>
      <w:r w:rsidR="00161EB4">
        <w:t>,</w:t>
      </w:r>
      <w:r w:rsidR="00E946C0">
        <w:t xml:space="preserve"> selects </w:t>
      </w:r>
      <w:r w:rsidR="00E946C0" w:rsidRPr="00161EB4">
        <w:rPr>
          <w:b/>
        </w:rPr>
        <w:t>preambles</w:t>
      </w:r>
      <w:r w:rsidR="00E946C0">
        <w:t xml:space="preserve"> from the CE-level in which Msg3 was originally transmitted. </w:t>
      </w:r>
    </w:p>
    <w:p w14:paraId="72223761" w14:textId="6A8D6C5D" w:rsidR="00E95BB6" w:rsidRDefault="00E95BB6" w:rsidP="00E95BB6">
      <w:r>
        <w:t>We believe RAN2 should discuss the above scenario and decide what the wanted behaviour is.</w:t>
      </w:r>
    </w:p>
    <w:p w14:paraId="4D1D6DFB" w14:textId="0D8684D2" w:rsidR="00E95BB6" w:rsidRDefault="00E95BB6" w:rsidP="00E95BB6">
      <w:pPr>
        <w:pStyle w:val="Proposal"/>
      </w:pPr>
      <w:bookmarkStart w:id="10" w:name="_Toc473892278"/>
      <w:bookmarkStart w:id="11" w:name="_Toc473893155"/>
      <w:bookmarkStart w:id="12" w:name="_Toc474428028"/>
      <w:bookmarkStart w:id="13" w:name="_Toc474668109"/>
      <w:bookmarkStart w:id="14" w:name="_Toc474668916"/>
      <w:r>
        <w:t>RAN2 should decide whether the UE should stay in the current CE-level after Msg3 has been transmitted, or if the UE should continue ramping up CE-levels and then select the preambles of the “next” CE-level even if Msg3 has been transmitted.</w:t>
      </w:r>
      <w:bookmarkEnd w:id="10"/>
      <w:bookmarkEnd w:id="11"/>
      <w:bookmarkEnd w:id="12"/>
      <w:bookmarkEnd w:id="13"/>
      <w:bookmarkEnd w:id="14"/>
    </w:p>
    <w:p w14:paraId="5A9AFA28" w14:textId="53218ECE" w:rsidR="00B90D0E" w:rsidRDefault="00B90D0E" w:rsidP="006E062C"/>
    <w:p w14:paraId="415C867A" w14:textId="3359137C" w:rsidR="004E6438" w:rsidRDefault="004E6438" w:rsidP="004E6438">
      <w:r>
        <w:t xml:space="preserve">If RAN2 agrees that </w:t>
      </w:r>
      <w:r w:rsidR="00356272">
        <w:t xml:space="preserve">preamble </w:t>
      </w:r>
      <w:r>
        <w:t xml:space="preserve">group B </w:t>
      </w:r>
      <w:r w:rsidRPr="004E6438">
        <w:rPr>
          <w:b/>
        </w:rPr>
        <w:t>can</w:t>
      </w:r>
      <w:r>
        <w:t xml:space="preserve"> be configured at the same time as </w:t>
      </w:r>
      <w:r w:rsidR="00356272">
        <w:t>CE-level specific preamble groups</w:t>
      </w:r>
      <w:r>
        <w:t>, corresponding CRs are found in [1] and [2].</w:t>
      </w:r>
    </w:p>
    <w:p w14:paraId="427787F1" w14:textId="7B4D5BCD" w:rsidR="004E6438" w:rsidRDefault="004E6438" w:rsidP="00161EB4">
      <w:r>
        <w:lastRenderedPageBreak/>
        <w:t xml:space="preserve">If RAN2 agrees that group B </w:t>
      </w:r>
      <w:r w:rsidRPr="004E6438">
        <w:rPr>
          <w:b/>
        </w:rPr>
        <w:t>can</w:t>
      </w:r>
      <w:r>
        <w:rPr>
          <w:b/>
        </w:rPr>
        <w:t>not</w:t>
      </w:r>
      <w:r>
        <w:t xml:space="preserve"> be configured at the same time as </w:t>
      </w:r>
      <w:r w:rsidR="00356272">
        <w:t>CE-level specific preamble groups</w:t>
      </w:r>
      <w:r>
        <w:t>, corresponding CRs are found in [3] and [4].</w:t>
      </w:r>
    </w:p>
    <w:p w14:paraId="4EBD01E7" w14:textId="557B3C8D" w:rsidR="00B90D0E" w:rsidRPr="00CE0424" w:rsidRDefault="00B90D0E" w:rsidP="006E062C"/>
    <w:p w14:paraId="7E690B51" w14:textId="77777777" w:rsidR="00C01F33" w:rsidRPr="00CE0424" w:rsidRDefault="00C01F33" w:rsidP="00CE0424">
      <w:pPr>
        <w:pStyle w:val="Heading1"/>
      </w:pPr>
      <w:r w:rsidRPr="00CE0424">
        <w:t>Conclusion</w:t>
      </w:r>
    </w:p>
    <w:p w14:paraId="704538DA" w14:textId="77777777" w:rsidR="003E7EFA"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E95BB6">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2AA2EB92" w14:textId="77777777" w:rsidR="003E7EFA" w:rsidRPr="003E7EFA" w:rsidRDefault="003E7EFA">
      <w:pPr>
        <w:pStyle w:val="TOC1"/>
        <w:rPr>
          <w:rFonts w:asciiTheme="minorHAnsi" w:eastAsiaTheme="minorEastAsia" w:hAnsiTheme="minorHAnsi" w:cstheme="minorBidi"/>
          <w:b w:val="0"/>
          <w:sz w:val="22"/>
        </w:rPr>
      </w:pPr>
      <w:r>
        <w:t>Proposal 1</w:t>
      </w:r>
      <w:r w:rsidRPr="003E7EFA">
        <w:rPr>
          <w:rFonts w:asciiTheme="minorHAnsi" w:eastAsiaTheme="minorEastAsia" w:hAnsiTheme="minorHAnsi" w:cstheme="minorBidi"/>
          <w:b w:val="0"/>
          <w:sz w:val="22"/>
        </w:rPr>
        <w:tab/>
      </w:r>
      <w:r>
        <w:t>RAN2 should discuss the intended behaviour w.r.t. whether it is useful to simultaneously configure preambles group A/B and preamble groups for CE-levels.</w:t>
      </w:r>
    </w:p>
    <w:p w14:paraId="47341AED" w14:textId="77777777" w:rsidR="003E7EFA" w:rsidRPr="003E7EFA" w:rsidRDefault="003E7EFA">
      <w:pPr>
        <w:pStyle w:val="TOC1"/>
        <w:rPr>
          <w:rFonts w:asciiTheme="minorHAnsi" w:eastAsiaTheme="minorEastAsia" w:hAnsiTheme="minorHAnsi" w:cstheme="minorBidi"/>
          <w:b w:val="0"/>
          <w:sz w:val="22"/>
        </w:rPr>
      </w:pPr>
      <w:r>
        <w:t>Proposal 2</w:t>
      </w:r>
      <w:r w:rsidRPr="003E7EFA">
        <w:rPr>
          <w:rFonts w:asciiTheme="minorHAnsi" w:eastAsiaTheme="minorEastAsia" w:hAnsiTheme="minorHAnsi" w:cstheme="minorBidi"/>
          <w:b w:val="0"/>
          <w:sz w:val="22"/>
        </w:rPr>
        <w:tab/>
      </w:r>
      <w:r>
        <w:t>If RAN2 agrees that CE specific preamble groups and A/B should not be configured at the same time, it is proposed to clarify this in MAC.</w:t>
      </w:r>
    </w:p>
    <w:p w14:paraId="34F9DC9A" w14:textId="77777777" w:rsidR="003E7EFA" w:rsidRPr="003E7EFA" w:rsidRDefault="003E7EFA">
      <w:pPr>
        <w:pStyle w:val="TOC1"/>
        <w:rPr>
          <w:rFonts w:asciiTheme="minorHAnsi" w:eastAsiaTheme="minorEastAsia" w:hAnsiTheme="minorHAnsi" w:cstheme="minorBidi"/>
          <w:b w:val="0"/>
          <w:sz w:val="22"/>
        </w:rPr>
      </w:pPr>
      <w:r>
        <w:t>Proposal 3</w:t>
      </w:r>
      <w:r w:rsidRPr="003E7EFA">
        <w:rPr>
          <w:rFonts w:asciiTheme="minorHAnsi" w:eastAsiaTheme="minorEastAsia" w:hAnsiTheme="minorHAnsi" w:cstheme="minorBidi"/>
          <w:b w:val="0"/>
          <w:sz w:val="22"/>
        </w:rPr>
        <w:tab/>
      </w:r>
      <w:r>
        <w:t>RAN2 to discuss if preambles associated with a CE-level is called a “set” instead of a “group”, to avoid ambiguity between the different types of preamble groups.</w:t>
      </w:r>
    </w:p>
    <w:p w14:paraId="7090C600" w14:textId="77777777" w:rsidR="003E7EFA" w:rsidRPr="003E7EFA" w:rsidRDefault="003E7EFA">
      <w:pPr>
        <w:pStyle w:val="TOC1"/>
        <w:rPr>
          <w:rFonts w:asciiTheme="minorHAnsi" w:eastAsiaTheme="minorEastAsia" w:hAnsiTheme="minorHAnsi" w:cstheme="minorBidi"/>
          <w:b w:val="0"/>
          <w:sz w:val="22"/>
        </w:rPr>
      </w:pPr>
      <w:r>
        <w:t>Proposal 4</w:t>
      </w:r>
      <w:r w:rsidRPr="003E7EFA">
        <w:rPr>
          <w:rFonts w:asciiTheme="minorHAnsi" w:eastAsiaTheme="minorEastAsia" w:hAnsiTheme="minorHAnsi" w:cstheme="minorBidi"/>
          <w:b w:val="0"/>
          <w:sz w:val="22"/>
        </w:rPr>
        <w:tab/>
      </w:r>
      <w:r>
        <w:t>RAN2 should decide whether the UE should stay in the current CE-level after Msg3 has been transmitted, or if the UE should continue ramping up CE-levels and then select the preambles of the “next” CE-level even if Msg3 has been transmitted.</w:t>
      </w:r>
    </w:p>
    <w:p w14:paraId="0C30B33E" w14:textId="77777777" w:rsidR="00311702" w:rsidRPr="00D04434" w:rsidRDefault="008E065E" w:rsidP="00AB0BC8">
      <w:pPr>
        <w:rPr>
          <w:b/>
          <w:bCs/>
        </w:rPr>
      </w:pPr>
      <w:r>
        <w:rPr>
          <w:b/>
          <w:bCs/>
        </w:rPr>
        <w:fldChar w:fldCharType="end"/>
      </w:r>
    </w:p>
    <w:p w14:paraId="43591C01" w14:textId="3A927CC7" w:rsidR="00C01F33" w:rsidRPr="00CE0424" w:rsidRDefault="00C01F33" w:rsidP="006E062C"/>
    <w:p w14:paraId="4C9431F6" w14:textId="77777777" w:rsidR="00F507D1" w:rsidRPr="00376F46" w:rsidRDefault="00F507D1" w:rsidP="00CE0424">
      <w:pPr>
        <w:pStyle w:val="Heading1"/>
      </w:pPr>
      <w:bookmarkStart w:id="15" w:name="_In-sequence_SDU_delivery"/>
      <w:bookmarkEnd w:id="15"/>
      <w:r w:rsidRPr="00376F46">
        <w:t>References</w:t>
      </w:r>
    </w:p>
    <w:p w14:paraId="7AA6E6A4" w14:textId="376A9FC5" w:rsidR="003A7EF3" w:rsidRPr="000D7EC9" w:rsidRDefault="009A3D76" w:rsidP="000D7EC9">
      <w:pPr>
        <w:pStyle w:val="Reference"/>
      </w:pPr>
      <w:bookmarkStart w:id="16" w:name="_Ref174151459"/>
      <w:bookmarkStart w:id="17" w:name="_Ref189809556"/>
      <w:r w:rsidRPr="000D7EC9">
        <w:t>36321_CR</w:t>
      </w:r>
      <w:r w:rsidR="005B070D">
        <w:t>1069</w:t>
      </w:r>
      <w:r w:rsidRPr="000D7EC9">
        <w:t>_(Rel-13)_</w:t>
      </w:r>
      <w:r w:rsidR="000D7EC9" w:rsidRPr="000D7EC9">
        <w:t>R2-1703295</w:t>
      </w:r>
      <w:r w:rsidR="00376F46" w:rsidRPr="000D7EC9">
        <w:t xml:space="preserve"> -</w:t>
      </w:r>
      <w:r w:rsidRPr="000D7EC9">
        <w:t xml:space="preserve"> </w:t>
      </w:r>
      <w:r w:rsidR="00E02FA6">
        <w:t>Configuration of preamble groups for CE levels and preamble groups A/B – Alt1</w:t>
      </w:r>
      <w:r w:rsidR="005F3025" w:rsidRPr="000D7EC9">
        <w:t xml:space="preserve">, </w:t>
      </w:r>
      <w:r w:rsidR="00E95BB6" w:rsidRPr="000D7EC9">
        <w:t>Ericsson</w:t>
      </w:r>
      <w:r w:rsidR="005F3025" w:rsidRPr="000D7EC9">
        <w:t xml:space="preserve">, </w:t>
      </w:r>
      <w:r w:rsidR="00E95BB6" w:rsidRPr="000D7EC9">
        <w:t>RAN2#97</w:t>
      </w:r>
      <w:r w:rsidR="000D7EC9">
        <w:t>bis</w:t>
      </w:r>
      <w:r w:rsidR="005F3025" w:rsidRPr="000D7EC9">
        <w:t xml:space="preserve">, </w:t>
      </w:r>
      <w:bookmarkEnd w:id="16"/>
      <w:bookmarkEnd w:id="17"/>
      <w:r w:rsidR="000D7EC9" w:rsidRPr="000D7EC9">
        <w:t>3th – 7th April 2017</w:t>
      </w:r>
    </w:p>
    <w:p w14:paraId="16D9FC69" w14:textId="0DCCAB44" w:rsidR="009A3D76" w:rsidRPr="000D7EC9" w:rsidRDefault="009A3D76" w:rsidP="00376F46">
      <w:pPr>
        <w:pStyle w:val="Reference"/>
      </w:pPr>
      <w:r w:rsidRPr="000D7EC9">
        <w:t>36321</w:t>
      </w:r>
      <w:r w:rsidR="005B070D">
        <w:t>_CR1070</w:t>
      </w:r>
      <w:r w:rsidR="00376F46" w:rsidRPr="000D7EC9">
        <w:t>_(Rel-14)_</w:t>
      </w:r>
      <w:r w:rsidR="000D7EC9">
        <w:t xml:space="preserve">R2-1703296 </w:t>
      </w:r>
      <w:r w:rsidR="00376F46" w:rsidRPr="000D7EC9">
        <w:t>-</w:t>
      </w:r>
      <w:r w:rsidRPr="000D7EC9">
        <w:t xml:space="preserve"> </w:t>
      </w:r>
      <w:r w:rsidR="00E02FA6">
        <w:t>Configuration of preamble groups for CE levels and preamble groups A/B – Alt1</w:t>
      </w:r>
      <w:r w:rsidRPr="000D7EC9">
        <w:t>, Ericsson, RAN2#97</w:t>
      </w:r>
      <w:r w:rsidR="000D7EC9">
        <w:t>bos</w:t>
      </w:r>
      <w:r w:rsidRPr="000D7EC9">
        <w:t xml:space="preserve">, </w:t>
      </w:r>
      <w:r w:rsidR="000D7EC9" w:rsidRPr="000D7EC9">
        <w:t>3th – 7th April 2017</w:t>
      </w:r>
    </w:p>
    <w:p w14:paraId="207C89B0" w14:textId="596D89A9" w:rsidR="004E6438" w:rsidRPr="000D7EC9" w:rsidRDefault="004E6438" w:rsidP="000D7EC9">
      <w:pPr>
        <w:pStyle w:val="Reference"/>
      </w:pPr>
      <w:r w:rsidRPr="000D7EC9">
        <w:t>3</w:t>
      </w:r>
      <w:r w:rsidR="005B070D">
        <w:t>6321_CR1071</w:t>
      </w:r>
      <w:r w:rsidR="000D7EC9">
        <w:t>_(Rel-13)_R2-1703297</w:t>
      </w:r>
      <w:r w:rsidR="00376F46" w:rsidRPr="000D7EC9">
        <w:t xml:space="preserve"> -</w:t>
      </w:r>
      <w:r w:rsidRPr="000D7EC9">
        <w:t xml:space="preserve"> </w:t>
      </w:r>
      <w:r w:rsidR="00E02FA6">
        <w:t>Configuration of preamble groups for CE level</w:t>
      </w:r>
      <w:r w:rsidR="00E02FA6">
        <w:t>s and preamble groups A/B – Alt2</w:t>
      </w:r>
      <w:r w:rsidRPr="000D7EC9">
        <w:t>, Ericsson, RAN2#97</w:t>
      </w:r>
      <w:r w:rsidR="000D7EC9">
        <w:t>bis</w:t>
      </w:r>
      <w:r w:rsidRPr="000D7EC9">
        <w:t xml:space="preserve">, </w:t>
      </w:r>
      <w:r w:rsidR="000D7EC9" w:rsidRPr="000D7EC9">
        <w:t>3th – 7th April 2017</w:t>
      </w:r>
    </w:p>
    <w:p w14:paraId="4286A74D" w14:textId="62C5AC5D" w:rsidR="009A3D76" w:rsidRPr="000D7EC9" w:rsidRDefault="00376F46" w:rsidP="009A3D76">
      <w:pPr>
        <w:pStyle w:val="Reference"/>
      </w:pPr>
      <w:r w:rsidRPr="000D7EC9">
        <w:t>3</w:t>
      </w:r>
      <w:r w:rsidR="005B070D">
        <w:t>6321_CR1072</w:t>
      </w:r>
      <w:r w:rsidR="000D7EC9">
        <w:t>_(Rel-14)_R2-1703298</w:t>
      </w:r>
      <w:r w:rsidR="00E02FA6">
        <w:t xml:space="preserve"> -</w:t>
      </w:r>
      <w:r w:rsidR="009A3D76" w:rsidRPr="000D7EC9">
        <w:t xml:space="preserve"> </w:t>
      </w:r>
      <w:r w:rsidR="00E02FA6">
        <w:t>Configuration of preamble groups for CE level</w:t>
      </w:r>
      <w:r w:rsidR="00E02FA6">
        <w:t>s and preamble groups A/B – Alt2</w:t>
      </w:r>
      <w:r w:rsidR="009A3D76" w:rsidRPr="000D7EC9">
        <w:t>, Ericsson, RAN2</w:t>
      </w:r>
      <w:bookmarkStart w:id="18" w:name="_GoBack"/>
      <w:bookmarkEnd w:id="18"/>
      <w:r w:rsidR="009A3D76" w:rsidRPr="000D7EC9">
        <w:t>#97</w:t>
      </w:r>
      <w:r w:rsidR="000D7EC9">
        <w:t>bis</w:t>
      </w:r>
      <w:r w:rsidR="009A3D76" w:rsidRPr="000D7EC9">
        <w:t xml:space="preserve">, </w:t>
      </w:r>
      <w:r w:rsidR="000D7EC9" w:rsidRPr="000D7EC9">
        <w:t>3th – 7th April 2017</w:t>
      </w:r>
    </w:p>
    <w:sectPr w:rsidR="009A3D76" w:rsidRPr="000D7EC9">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B0EE75" w14:textId="77777777" w:rsidR="0054288A" w:rsidRDefault="0054288A">
      <w:r>
        <w:separator/>
      </w:r>
    </w:p>
  </w:endnote>
  <w:endnote w:type="continuationSeparator" w:id="0">
    <w:p w14:paraId="4FE163BE" w14:textId="77777777" w:rsidR="0054288A" w:rsidRDefault="00542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
    <w:altName w:val="Arial Unicode MS"/>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0974A9AF"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02FA6">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02FA6">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C8729A" w14:textId="77777777" w:rsidR="0054288A" w:rsidRDefault="0054288A">
      <w:r>
        <w:separator/>
      </w:r>
    </w:p>
  </w:footnote>
  <w:footnote w:type="continuationSeparator" w:id="0">
    <w:p w14:paraId="57B4805E" w14:textId="77777777" w:rsidR="0054288A" w:rsidRDefault="005428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2"/>
  </w:num>
  <w:num w:numId="8">
    <w:abstractNumId w:val="6"/>
  </w:num>
  <w:num w:numId="9">
    <w:abstractNumId w:val="4"/>
  </w:num>
  <w:num w:numId="10">
    <w:abstractNumId w:val="2"/>
  </w:num>
  <w:num w:numId="11">
    <w:abstractNumId w:val="1"/>
  </w:num>
  <w:num w:numId="12">
    <w:abstractNumId w:val="0"/>
  </w:num>
  <w:num w:numId="1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37FDD"/>
    <w:rsid w:val="000422E2"/>
    <w:rsid w:val="00042F22"/>
    <w:rsid w:val="000444EF"/>
    <w:rsid w:val="00052A07"/>
    <w:rsid w:val="000534E3"/>
    <w:rsid w:val="0005606A"/>
    <w:rsid w:val="00057117"/>
    <w:rsid w:val="000616E7"/>
    <w:rsid w:val="0006487E"/>
    <w:rsid w:val="00065E1A"/>
    <w:rsid w:val="0007328F"/>
    <w:rsid w:val="00077E5F"/>
    <w:rsid w:val="0008036A"/>
    <w:rsid w:val="00081AE6"/>
    <w:rsid w:val="00083346"/>
    <w:rsid w:val="000846F8"/>
    <w:rsid w:val="000855EB"/>
    <w:rsid w:val="00085B52"/>
    <w:rsid w:val="000866F2"/>
    <w:rsid w:val="0009009F"/>
    <w:rsid w:val="00091557"/>
    <w:rsid w:val="000924C1"/>
    <w:rsid w:val="000924F0"/>
    <w:rsid w:val="00093474"/>
    <w:rsid w:val="0009419A"/>
    <w:rsid w:val="0009510F"/>
    <w:rsid w:val="000A1B7B"/>
    <w:rsid w:val="000A56F2"/>
    <w:rsid w:val="000B2719"/>
    <w:rsid w:val="000B3A8F"/>
    <w:rsid w:val="000B4AB9"/>
    <w:rsid w:val="000B58C3"/>
    <w:rsid w:val="000B61E9"/>
    <w:rsid w:val="000C165A"/>
    <w:rsid w:val="000C2E19"/>
    <w:rsid w:val="000D0103"/>
    <w:rsid w:val="000D0D07"/>
    <w:rsid w:val="000D4797"/>
    <w:rsid w:val="000D7EC9"/>
    <w:rsid w:val="000E0527"/>
    <w:rsid w:val="000E1E92"/>
    <w:rsid w:val="000E6FA6"/>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1EB4"/>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3A5F"/>
    <w:rsid w:val="001F3ED5"/>
    <w:rsid w:val="001F54C5"/>
    <w:rsid w:val="001F662C"/>
    <w:rsid w:val="001F7074"/>
    <w:rsid w:val="00200490"/>
    <w:rsid w:val="00201F3A"/>
    <w:rsid w:val="002030B5"/>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26D95"/>
    <w:rsid w:val="00331751"/>
    <w:rsid w:val="00334579"/>
    <w:rsid w:val="00335858"/>
    <w:rsid w:val="00336BDA"/>
    <w:rsid w:val="003419D7"/>
    <w:rsid w:val="00342BD7"/>
    <w:rsid w:val="00343A07"/>
    <w:rsid w:val="00346DB5"/>
    <w:rsid w:val="003477B1"/>
    <w:rsid w:val="00353740"/>
    <w:rsid w:val="0035482C"/>
    <w:rsid w:val="00356272"/>
    <w:rsid w:val="00357380"/>
    <w:rsid w:val="003602D9"/>
    <w:rsid w:val="003604CE"/>
    <w:rsid w:val="00370E47"/>
    <w:rsid w:val="003742AC"/>
    <w:rsid w:val="00376F46"/>
    <w:rsid w:val="00377CE1"/>
    <w:rsid w:val="00385BF0"/>
    <w:rsid w:val="003939FF"/>
    <w:rsid w:val="003A2223"/>
    <w:rsid w:val="003A2A0F"/>
    <w:rsid w:val="003A45A1"/>
    <w:rsid w:val="003A5B0A"/>
    <w:rsid w:val="003A6BAC"/>
    <w:rsid w:val="003A7EF3"/>
    <w:rsid w:val="003B0594"/>
    <w:rsid w:val="003B159C"/>
    <w:rsid w:val="003B369F"/>
    <w:rsid w:val="003B36A3"/>
    <w:rsid w:val="003B7928"/>
    <w:rsid w:val="003B7FE5"/>
    <w:rsid w:val="003C11C8"/>
    <w:rsid w:val="003C2702"/>
    <w:rsid w:val="003C6112"/>
    <w:rsid w:val="003C7806"/>
    <w:rsid w:val="003D109F"/>
    <w:rsid w:val="003D2478"/>
    <w:rsid w:val="003D2FC4"/>
    <w:rsid w:val="003D3C45"/>
    <w:rsid w:val="003D5B1F"/>
    <w:rsid w:val="003E15FA"/>
    <w:rsid w:val="003E55E4"/>
    <w:rsid w:val="003E74E3"/>
    <w:rsid w:val="003E75BA"/>
    <w:rsid w:val="003E7EFA"/>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5F3A"/>
    <w:rsid w:val="004669E2"/>
    <w:rsid w:val="00470C31"/>
    <w:rsid w:val="004734D0"/>
    <w:rsid w:val="0047556B"/>
    <w:rsid w:val="00477768"/>
    <w:rsid w:val="00492BC5"/>
    <w:rsid w:val="004964F1"/>
    <w:rsid w:val="004A16BC"/>
    <w:rsid w:val="004A2B94"/>
    <w:rsid w:val="004A592C"/>
    <w:rsid w:val="004B1069"/>
    <w:rsid w:val="004B7C0C"/>
    <w:rsid w:val="004C3898"/>
    <w:rsid w:val="004D36B1"/>
    <w:rsid w:val="004D7EBD"/>
    <w:rsid w:val="004E2680"/>
    <w:rsid w:val="004E28F9"/>
    <w:rsid w:val="004E462E"/>
    <w:rsid w:val="004E56DC"/>
    <w:rsid w:val="004E6438"/>
    <w:rsid w:val="004E76F4"/>
    <w:rsid w:val="004F0B4E"/>
    <w:rsid w:val="004F0B6C"/>
    <w:rsid w:val="004F2078"/>
    <w:rsid w:val="004F4DA3"/>
    <w:rsid w:val="00506557"/>
    <w:rsid w:val="0050677A"/>
    <w:rsid w:val="005108D8"/>
    <w:rsid w:val="005116F9"/>
    <w:rsid w:val="005153A7"/>
    <w:rsid w:val="005219CF"/>
    <w:rsid w:val="00531534"/>
    <w:rsid w:val="005338D0"/>
    <w:rsid w:val="00534B59"/>
    <w:rsid w:val="00536759"/>
    <w:rsid w:val="00537C62"/>
    <w:rsid w:val="0054288A"/>
    <w:rsid w:val="00546970"/>
    <w:rsid w:val="005543BF"/>
    <w:rsid w:val="00554E19"/>
    <w:rsid w:val="0056121F"/>
    <w:rsid w:val="005668B0"/>
    <w:rsid w:val="00572505"/>
    <w:rsid w:val="005801B6"/>
    <w:rsid w:val="00580202"/>
    <w:rsid w:val="00582809"/>
    <w:rsid w:val="0058798C"/>
    <w:rsid w:val="005900FA"/>
    <w:rsid w:val="005935A4"/>
    <w:rsid w:val="005948C2"/>
    <w:rsid w:val="00595DCA"/>
    <w:rsid w:val="0059779B"/>
    <w:rsid w:val="005A209A"/>
    <w:rsid w:val="005A662D"/>
    <w:rsid w:val="005B070D"/>
    <w:rsid w:val="005B35D7"/>
    <w:rsid w:val="005B392A"/>
    <w:rsid w:val="005B3AA3"/>
    <w:rsid w:val="005B6F83"/>
    <w:rsid w:val="005C74FB"/>
    <w:rsid w:val="005D1602"/>
    <w:rsid w:val="005E385F"/>
    <w:rsid w:val="005E5B81"/>
    <w:rsid w:val="005F2CB1"/>
    <w:rsid w:val="005F3025"/>
    <w:rsid w:val="005F4D03"/>
    <w:rsid w:val="005F618C"/>
    <w:rsid w:val="005F70BD"/>
    <w:rsid w:val="0060283C"/>
    <w:rsid w:val="00604F14"/>
    <w:rsid w:val="00605F62"/>
    <w:rsid w:val="00611B83"/>
    <w:rsid w:val="00613257"/>
    <w:rsid w:val="00617E19"/>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405B"/>
    <w:rsid w:val="007445A0"/>
    <w:rsid w:val="0074524B"/>
    <w:rsid w:val="00747D8B"/>
    <w:rsid w:val="00751228"/>
    <w:rsid w:val="00754D14"/>
    <w:rsid w:val="007571E1"/>
    <w:rsid w:val="007604B2"/>
    <w:rsid w:val="00765281"/>
    <w:rsid w:val="00766BAD"/>
    <w:rsid w:val="007730BD"/>
    <w:rsid w:val="007755F2"/>
    <w:rsid w:val="00776971"/>
    <w:rsid w:val="0078177E"/>
    <w:rsid w:val="0078304C"/>
    <w:rsid w:val="00783673"/>
    <w:rsid w:val="00785490"/>
    <w:rsid w:val="007925EA"/>
    <w:rsid w:val="00793CD8"/>
    <w:rsid w:val="00794F7F"/>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6F9E"/>
    <w:rsid w:val="00803FAE"/>
    <w:rsid w:val="0080605F"/>
    <w:rsid w:val="00807786"/>
    <w:rsid w:val="00811FCB"/>
    <w:rsid w:val="008158D6"/>
    <w:rsid w:val="00817196"/>
    <w:rsid w:val="00817EDE"/>
    <w:rsid w:val="00823274"/>
    <w:rsid w:val="008235DB"/>
    <w:rsid w:val="00824AB4"/>
    <w:rsid w:val="00825C42"/>
    <w:rsid w:val="00825D25"/>
    <w:rsid w:val="00827D6F"/>
    <w:rsid w:val="008376AC"/>
    <w:rsid w:val="008444E8"/>
    <w:rsid w:val="00844E80"/>
    <w:rsid w:val="00846FE7"/>
    <w:rsid w:val="00850CEC"/>
    <w:rsid w:val="00856911"/>
    <w:rsid w:val="0086320B"/>
    <w:rsid w:val="008677FD"/>
    <w:rsid w:val="008706D4"/>
    <w:rsid w:val="00870F8A"/>
    <w:rsid w:val="008719A4"/>
    <w:rsid w:val="00871D23"/>
    <w:rsid w:val="00874312"/>
    <w:rsid w:val="0087437C"/>
    <w:rsid w:val="00875CD7"/>
    <w:rsid w:val="00875E3F"/>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82D"/>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D76"/>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48A8"/>
    <w:rsid w:val="00A04F49"/>
    <w:rsid w:val="00A13E54"/>
    <w:rsid w:val="00A17F63"/>
    <w:rsid w:val="00A2193B"/>
    <w:rsid w:val="00A2204F"/>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2F3E"/>
    <w:rsid w:val="00AA51D6"/>
    <w:rsid w:val="00AB0BC8"/>
    <w:rsid w:val="00AB11CA"/>
    <w:rsid w:val="00AB14D9"/>
    <w:rsid w:val="00AB280D"/>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4A63"/>
    <w:rsid w:val="00B157F9"/>
    <w:rsid w:val="00B167F1"/>
    <w:rsid w:val="00B20256"/>
    <w:rsid w:val="00B20D09"/>
    <w:rsid w:val="00B2763F"/>
    <w:rsid w:val="00B27AAC"/>
    <w:rsid w:val="00B30929"/>
    <w:rsid w:val="00B372AA"/>
    <w:rsid w:val="00B40445"/>
    <w:rsid w:val="00B41888"/>
    <w:rsid w:val="00B42BDB"/>
    <w:rsid w:val="00B45A52"/>
    <w:rsid w:val="00B46175"/>
    <w:rsid w:val="00B62AAA"/>
    <w:rsid w:val="00B664C7"/>
    <w:rsid w:val="00B739F6"/>
    <w:rsid w:val="00B81A6C"/>
    <w:rsid w:val="00B85DE5"/>
    <w:rsid w:val="00B90D0E"/>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D6D70"/>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60783"/>
    <w:rsid w:val="00C64672"/>
    <w:rsid w:val="00C64F6B"/>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646B"/>
    <w:rsid w:val="00CE64FB"/>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485"/>
    <w:rsid w:val="00D92982"/>
    <w:rsid w:val="00DA305E"/>
    <w:rsid w:val="00DA5007"/>
    <w:rsid w:val="00DA5417"/>
    <w:rsid w:val="00DA56E8"/>
    <w:rsid w:val="00DB0A9F"/>
    <w:rsid w:val="00DB377D"/>
    <w:rsid w:val="00DC2D36"/>
    <w:rsid w:val="00DC53EF"/>
    <w:rsid w:val="00DE5608"/>
    <w:rsid w:val="00DE58D0"/>
    <w:rsid w:val="00DE654F"/>
    <w:rsid w:val="00DF0B6E"/>
    <w:rsid w:val="00DF15E0"/>
    <w:rsid w:val="00DF37A0"/>
    <w:rsid w:val="00DF5C56"/>
    <w:rsid w:val="00E02FA6"/>
    <w:rsid w:val="00E110E7"/>
    <w:rsid w:val="00E11B20"/>
    <w:rsid w:val="00E17FA2"/>
    <w:rsid w:val="00E22330"/>
    <w:rsid w:val="00E309B7"/>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2A0"/>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5B6"/>
    <w:rsid w:val="00E946C0"/>
    <w:rsid w:val="00E94F8A"/>
    <w:rsid w:val="00E95BB6"/>
    <w:rsid w:val="00E972F2"/>
    <w:rsid w:val="00EA7A41"/>
    <w:rsid w:val="00EB077B"/>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3ED7"/>
    <w:rsid w:val="00F96985"/>
    <w:rsid w:val="00F97838"/>
    <w:rsid w:val="00FA2BB3"/>
    <w:rsid w:val="00FB4C80"/>
    <w:rsid w:val="00FB6A6A"/>
    <w:rsid w:val="00FC1D35"/>
    <w:rsid w:val="00FC35EF"/>
    <w:rsid w:val="00FC4AD0"/>
    <w:rsid w:val="00FC7429"/>
    <w:rsid w:val="00FC7A15"/>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AC82CBE6-40CF-4074-B213-9A32504DE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link w:val="B3Char"/>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NO">
    <w:name w:val="NO"/>
    <w:basedOn w:val="Normal"/>
    <w:link w:val="NOChar"/>
    <w:rsid w:val="00B90D0E"/>
    <w:pPr>
      <w:keepLines/>
      <w:spacing w:after="180"/>
      <w:ind w:left="1135" w:hanging="851"/>
      <w:jc w:val="left"/>
    </w:pPr>
    <w:rPr>
      <w:rFonts w:ascii="Times New Roman" w:hAnsi="Times New Roman"/>
      <w:lang w:eastAsia="x-none"/>
    </w:rPr>
  </w:style>
  <w:style w:type="character" w:customStyle="1" w:styleId="NOChar">
    <w:name w:val="NO Char"/>
    <w:link w:val="NO"/>
    <w:rsid w:val="00B90D0E"/>
    <w:rPr>
      <w:rFonts w:ascii="Times New Roman" w:hAnsi="Times New Roman"/>
      <w:lang w:val="en-GB" w:eastAsia="x-none"/>
    </w:rPr>
  </w:style>
  <w:style w:type="character" w:customStyle="1" w:styleId="B2Char">
    <w:name w:val="B2 Char"/>
    <w:link w:val="B2"/>
    <w:rsid w:val="00B90D0E"/>
    <w:rPr>
      <w:rFonts w:ascii="Arial" w:hAnsi="Arial"/>
      <w:lang w:val="en-GB" w:eastAsia="en-US"/>
    </w:rPr>
  </w:style>
  <w:style w:type="character" w:customStyle="1" w:styleId="B3Char">
    <w:name w:val="B3 Char"/>
    <w:link w:val="B3"/>
    <w:rsid w:val="00B90D0E"/>
    <w:rPr>
      <w:rFonts w:ascii="Arial" w:hAnsi="Arial"/>
      <w:lang w:val="en-GB" w:eastAsia="en-US"/>
    </w:rPr>
  </w:style>
  <w:style w:type="table" w:styleId="TableGrid">
    <w:name w:val="Table Grid"/>
    <w:basedOn w:val="TableNormal"/>
    <w:rsid w:val="00B90D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823274"/>
    <w:rPr>
      <w:rFonts w:ascii="Arial" w:hAnsi="Arial"/>
      <w:lang w:val="en-GB" w:eastAsia="en-US"/>
    </w:rPr>
  </w:style>
  <w:style w:type="character" w:customStyle="1" w:styleId="B4Char">
    <w:name w:val="B4 Char"/>
    <w:link w:val="B4"/>
    <w:rsid w:val="00823274"/>
    <w:rPr>
      <w:rFonts w:ascii="Arial" w:hAnsi="Arial"/>
      <w:lang w:val="en-GB" w:eastAsia="en-US"/>
    </w:rPr>
  </w:style>
  <w:style w:type="paragraph" w:styleId="NormalWeb">
    <w:name w:val="Normal (Web)"/>
    <w:basedOn w:val="Normal"/>
    <w:uiPriority w:val="99"/>
    <w:semiHidden/>
    <w:unhideWhenUsed/>
    <w:rsid w:val="003B0594"/>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fi-FI" w:eastAsia="fi-FI"/>
    </w:rPr>
  </w:style>
  <w:style w:type="paragraph" w:styleId="Revision">
    <w:name w:val="Revision"/>
    <w:hidden/>
    <w:uiPriority w:val="99"/>
    <w:semiHidden/>
    <w:rsid w:val="00FC7A15"/>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2EF195-0AAF-4600-98E6-FDA096360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263</TotalTime>
  <Pages>5</Pages>
  <Words>1606</Words>
  <Characters>8518</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Oscar Ohlsson</cp:lastModifiedBy>
  <cp:revision>41</cp:revision>
  <cp:lastPrinted>2008-01-31T06:09:00Z</cp:lastPrinted>
  <dcterms:created xsi:type="dcterms:W3CDTF">2016-09-07T05:59:00Z</dcterms:created>
  <dcterms:modified xsi:type="dcterms:W3CDTF">2017-03-24T12:02:00Z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